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132A1" w14:textId="7B4C1192" w:rsidR="00F964B2" w:rsidRPr="00F964B2" w:rsidRDefault="00F964B2" w:rsidP="00F964B2">
      <w:pPr>
        <w:jc w:val="center"/>
        <w:rPr>
          <w:b/>
          <w:bCs/>
          <w:sz w:val="24"/>
          <w:szCs w:val="24"/>
        </w:rPr>
      </w:pPr>
      <w:bookmarkStart w:id="0" w:name="_GoBack"/>
      <w:bookmarkEnd w:id="0"/>
      <w:r w:rsidRPr="00F964B2">
        <w:rPr>
          <w:b/>
          <w:bCs/>
          <w:sz w:val="24"/>
          <w:szCs w:val="24"/>
        </w:rPr>
        <w:t xml:space="preserve">Demande de vacation de recherche </w:t>
      </w:r>
    </w:p>
    <w:p w14:paraId="4BF520AE" w14:textId="6E10F5E1" w:rsidR="00F964B2" w:rsidRPr="00F964B2" w:rsidRDefault="00F964B2" w:rsidP="00F964B2">
      <w:pPr>
        <w:jc w:val="center"/>
        <w:rPr>
          <w:b/>
          <w:bCs/>
          <w:sz w:val="24"/>
          <w:szCs w:val="24"/>
        </w:rPr>
      </w:pPr>
      <w:r w:rsidRPr="00F964B2">
        <w:rPr>
          <w:b/>
          <w:bCs/>
          <w:sz w:val="24"/>
          <w:szCs w:val="24"/>
        </w:rPr>
        <w:t xml:space="preserve">Soutien à l’organisation et à la diffusion scientifique du colloque </w:t>
      </w:r>
    </w:p>
    <w:p w14:paraId="23909DCD" w14:textId="747A7FC8" w:rsidR="00F964B2" w:rsidRPr="00F964B2" w:rsidRDefault="00F964B2" w:rsidP="00F964B2">
      <w:pPr>
        <w:jc w:val="center"/>
        <w:rPr>
          <w:b/>
          <w:bCs/>
          <w:sz w:val="24"/>
          <w:szCs w:val="24"/>
        </w:rPr>
      </w:pPr>
      <w:r w:rsidRPr="00F964B2">
        <w:rPr>
          <w:b/>
          <w:bCs/>
          <w:sz w:val="24"/>
          <w:szCs w:val="24"/>
        </w:rPr>
        <w:t>« Triomphe, chute et renaissance : les représentations de la ville de Détroit (Michigan) et leurs sous-textes idéologiques, politiques et éthiques »</w:t>
      </w:r>
    </w:p>
    <w:p w14:paraId="7C15407F" w14:textId="62184AD8" w:rsidR="00F964B2" w:rsidRDefault="00F964B2" w:rsidP="00F964B2">
      <w:pPr>
        <w:jc w:val="center"/>
        <w:rPr>
          <w:b/>
          <w:bCs/>
          <w:sz w:val="24"/>
          <w:szCs w:val="24"/>
        </w:rPr>
      </w:pPr>
      <w:r w:rsidRPr="00F964B2">
        <w:rPr>
          <w:b/>
          <w:bCs/>
          <w:sz w:val="24"/>
          <w:szCs w:val="24"/>
        </w:rPr>
        <w:t>Cité du design, 11-13 juin 2025</w:t>
      </w:r>
    </w:p>
    <w:p w14:paraId="723C036F" w14:textId="6B813153" w:rsidR="00754419" w:rsidRDefault="00754419" w:rsidP="00F964B2">
      <w:pPr>
        <w:jc w:val="center"/>
        <w:rPr>
          <w:b/>
          <w:bCs/>
          <w:sz w:val="24"/>
          <w:szCs w:val="24"/>
        </w:rPr>
      </w:pPr>
      <w:r>
        <w:rPr>
          <w:b/>
          <w:bCs/>
          <w:sz w:val="24"/>
          <w:szCs w:val="24"/>
        </w:rPr>
        <w:t>Evénement organisé par Vincent Jaunas, UFR ALL, laboratoire ECLLA</w:t>
      </w:r>
    </w:p>
    <w:p w14:paraId="28AED6A4" w14:textId="77777777" w:rsidR="00F964B2" w:rsidRDefault="00F964B2" w:rsidP="00F964B2">
      <w:pPr>
        <w:jc w:val="center"/>
        <w:rPr>
          <w:b/>
          <w:bCs/>
          <w:sz w:val="24"/>
          <w:szCs w:val="24"/>
        </w:rPr>
      </w:pPr>
    </w:p>
    <w:p w14:paraId="33BA69F8" w14:textId="12666443" w:rsidR="00F964B2" w:rsidRDefault="00F964B2" w:rsidP="00F964B2">
      <w:pPr>
        <w:rPr>
          <w:b/>
          <w:bCs/>
          <w:sz w:val="24"/>
          <w:szCs w:val="24"/>
        </w:rPr>
      </w:pPr>
      <w:r>
        <w:rPr>
          <w:b/>
          <w:bCs/>
          <w:sz w:val="24"/>
          <w:szCs w:val="24"/>
        </w:rPr>
        <w:t xml:space="preserve">Présentation : </w:t>
      </w:r>
    </w:p>
    <w:p w14:paraId="799B4640" w14:textId="77777777" w:rsidR="00F964B2" w:rsidRDefault="00F964B2" w:rsidP="00F964B2">
      <w:pPr>
        <w:rPr>
          <w:sz w:val="24"/>
          <w:szCs w:val="24"/>
        </w:rPr>
      </w:pPr>
    </w:p>
    <w:p w14:paraId="20DFACB9" w14:textId="3B8BA9E5" w:rsidR="00F964B2" w:rsidRDefault="00F964B2" w:rsidP="00694DD6">
      <w:pPr>
        <w:jc w:val="both"/>
        <w:rPr>
          <w:sz w:val="24"/>
          <w:szCs w:val="24"/>
        </w:rPr>
      </w:pPr>
      <w:r>
        <w:rPr>
          <w:sz w:val="24"/>
          <w:szCs w:val="24"/>
        </w:rPr>
        <w:tab/>
      </w:r>
      <w:r w:rsidR="00764A09">
        <w:rPr>
          <w:sz w:val="24"/>
          <w:szCs w:val="24"/>
        </w:rPr>
        <w:t xml:space="preserve">Je souhaite recruter </w:t>
      </w:r>
      <w:proofErr w:type="spellStart"/>
      <w:proofErr w:type="gramStart"/>
      <w:r w:rsidR="00764A09">
        <w:rPr>
          <w:sz w:val="24"/>
          <w:szCs w:val="24"/>
        </w:rPr>
        <w:t>un.e</w:t>
      </w:r>
      <w:proofErr w:type="spellEnd"/>
      <w:proofErr w:type="gramEnd"/>
      <w:r w:rsidR="00764A09">
        <w:rPr>
          <w:sz w:val="24"/>
          <w:szCs w:val="24"/>
        </w:rPr>
        <w:t xml:space="preserve"> </w:t>
      </w:r>
      <w:proofErr w:type="spellStart"/>
      <w:r w:rsidR="00764A09">
        <w:rPr>
          <w:sz w:val="24"/>
          <w:szCs w:val="24"/>
        </w:rPr>
        <w:t>étudiant.e</w:t>
      </w:r>
      <w:proofErr w:type="spellEnd"/>
      <w:r w:rsidR="00764A09">
        <w:rPr>
          <w:sz w:val="24"/>
          <w:szCs w:val="24"/>
        </w:rPr>
        <w:t xml:space="preserve"> de L3 qui participera à l’organisation et à la diffusion scientifique du colloque « Triomphe, chute et renaissance : les représentations de la ville de Détroit (Michigan) et leurs sous-textes idéologiques, politiques et éthiques », qui se tiendra à la Cité du design du 11 au 13 juin 2025. </w:t>
      </w:r>
    </w:p>
    <w:p w14:paraId="00305C89" w14:textId="0C47F159" w:rsidR="00764A09" w:rsidRDefault="00764A09" w:rsidP="00694DD6">
      <w:pPr>
        <w:jc w:val="both"/>
        <w:rPr>
          <w:sz w:val="24"/>
          <w:szCs w:val="24"/>
        </w:rPr>
      </w:pPr>
      <w:r>
        <w:rPr>
          <w:sz w:val="24"/>
          <w:szCs w:val="24"/>
        </w:rPr>
        <w:tab/>
        <w:t>Les missions de la personne recrutée seront multiples. Il s’agira tout d’abord de participer à la communication autour de l’événement. Celui-ci est le fruit d’un partenariat entre plusieurs acteurs publiques (l’UJM et la Cité du design) et privé (la galerie « rêve d’ailleurs », où se tiendra l’exposition d’œuvres photographiques d’artistes ayant représenté Détroit, et le café-restaurant « comme à la maison », où se tiendra une soirée musicale rendant hommage à la musique de Détroit). Le futur vacataire sera ainsi en charge de coordonner la communication des différents organismes, afin que chacun puisse promouvoir l’événement dans son intégralité et le diffuser à ses cercles propres. L’événement étant interdisciplinaire, il devra également s’assurer que la communication au sein de l’université touche tous les publics, et notamment ceux propices à s’intéresser au colloque (</w:t>
      </w:r>
      <w:proofErr w:type="spellStart"/>
      <w:r>
        <w:rPr>
          <w:sz w:val="24"/>
          <w:szCs w:val="24"/>
        </w:rPr>
        <w:t>étudiant.e.s</w:t>
      </w:r>
      <w:proofErr w:type="spellEnd"/>
      <w:r>
        <w:rPr>
          <w:sz w:val="24"/>
          <w:szCs w:val="24"/>
        </w:rPr>
        <w:t>. en anglais, en histoire, en musicologie, en arts visuels, etc.). Il sera également chargé d’inclure la communication sur cet événement au sein de la</w:t>
      </w:r>
      <w:r w:rsidR="004B2FE2">
        <w:rPr>
          <w:sz w:val="24"/>
          <w:szCs w:val="24"/>
        </w:rPr>
        <w:t xml:space="preserve"> campagne de</w:t>
      </w:r>
      <w:r>
        <w:rPr>
          <w:sz w:val="24"/>
          <w:szCs w:val="24"/>
        </w:rPr>
        <w:t xml:space="preserve"> communication pour la biennale du Design, qui aura lieu au même moment</w:t>
      </w:r>
      <w:r w:rsidR="004B2FE2">
        <w:rPr>
          <w:sz w:val="24"/>
          <w:szCs w:val="24"/>
        </w:rPr>
        <w:t xml:space="preserve"> à la Cité du design. Enfin, il pourra contacter la presse locale pour essayer de générer de l’intérêt pour la venue des célèbres photographes Yves Marchand et Romain Meffre, qui viendront présenter leurs travaux, et, à travers cet événement, inciter le grand public à assister au colloque. </w:t>
      </w:r>
    </w:p>
    <w:p w14:paraId="62D6040F" w14:textId="48F2E363" w:rsidR="004B2FE2" w:rsidRDefault="004B2FE2" w:rsidP="00694DD6">
      <w:pPr>
        <w:jc w:val="both"/>
        <w:rPr>
          <w:sz w:val="24"/>
          <w:szCs w:val="24"/>
        </w:rPr>
      </w:pPr>
      <w:r>
        <w:rPr>
          <w:sz w:val="24"/>
          <w:szCs w:val="24"/>
        </w:rPr>
        <w:tab/>
        <w:t xml:space="preserve">Le second volet de la mission du vacataire consistera en l’accueil des invités internationaux à l’occasion du colloque. Nous invitons trois universitaires des Etats-Unis ne parlant pas français, qui pourront ainsi bénéficier du soutien d’un étudiant local lors de leur séjour. Cet aspect de la mission du vacataire justifie mon souhait de recruter cette personne parmi </w:t>
      </w:r>
      <w:proofErr w:type="gramStart"/>
      <w:r>
        <w:rPr>
          <w:sz w:val="24"/>
          <w:szCs w:val="24"/>
        </w:rPr>
        <w:t xml:space="preserve">les </w:t>
      </w:r>
      <w:proofErr w:type="spellStart"/>
      <w:r>
        <w:rPr>
          <w:sz w:val="24"/>
          <w:szCs w:val="24"/>
        </w:rPr>
        <w:t>étudiant</w:t>
      </w:r>
      <w:proofErr w:type="gramEnd"/>
      <w:r>
        <w:rPr>
          <w:sz w:val="24"/>
          <w:szCs w:val="24"/>
        </w:rPr>
        <w:t>.e.s</w:t>
      </w:r>
      <w:proofErr w:type="spellEnd"/>
      <w:r>
        <w:rPr>
          <w:sz w:val="24"/>
          <w:szCs w:val="24"/>
        </w:rPr>
        <w:t xml:space="preserve">. en L3 LLCE anglais. </w:t>
      </w:r>
    </w:p>
    <w:p w14:paraId="4CE98333" w14:textId="253647DC" w:rsidR="004B2FE2" w:rsidRDefault="004B2FE2" w:rsidP="00694DD6">
      <w:pPr>
        <w:jc w:val="both"/>
        <w:rPr>
          <w:sz w:val="24"/>
          <w:szCs w:val="24"/>
        </w:rPr>
      </w:pPr>
      <w:r>
        <w:rPr>
          <w:sz w:val="24"/>
          <w:szCs w:val="24"/>
        </w:rPr>
        <w:tab/>
        <w:t xml:space="preserve">Pour finir, j’aimerais que le vacataire rédige un compte-rendu du colloque et des événements associés, qui pourra être diffusé dans les différents canaux à destination des étudiant.es stéphanois. </w:t>
      </w:r>
    </w:p>
    <w:p w14:paraId="2E6F8D07" w14:textId="77777777" w:rsidR="004B2FE2" w:rsidRDefault="004B2FE2" w:rsidP="00694DD6">
      <w:pPr>
        <w:jc w:val="both"/>
        <w:rPr>
          <w:sz w:val="24"/>
          <w:szCs w:val="24"/>
        </w:rPr>
      </w:pPr>
      <w:r>
        <w:rPr>
          <w:sz w:val="24"/>
          <w:szCs w:val="24"/>
        </w:rPr>
        <w:br w:type="page"/>
      </w:r>
    </w:p>
    <w:p w14:paraId="442D9EEA" w14:textId="2C496D10" w:rsidR="004B2FE2" w:rsidRDefault="00754419" w:rsidP="00F964B2">
      <w:pPr>
        <w:rPr>
          <w:b/>
          <w:bCs/>
          <w:sz w:val="24"/>
          <w:szCs w:val="24"/>
        </w:rPr>
      </w:pPr>
      <w:r>
        <w:rPr>
          <w:b/>
          <w:bCs/>
          <w:sz w:val="24"/>
          <w:szCs w:val="24"/>
        </w:rPr>
        <w:lastRenderedPageBreak/>
        <w:t xml:space="preserve">Planning prévisionnel : </w:t>
      </w:r>
    </w:p>
    <w:p w14:paraId="7EFE894C" w14:textId="77777777" w:rsidR="00754419" w:rsidRDefault="00754419" w:rsidP="00F964B2">
      <w:pPr>
        <w:rPr>
          <w:b/>
          <w:bCs/>
          <w:sz w:val="24"/>
          <w:szCs w:val="24"/>
        </w:rPr>
      </w:pPr>
    </w:p>
    <w:tbl>
      <w:tblPr>
        <w:tblStyle w:val="Grilledutableau"/>
        <w:tblW w:w="0" w:type="auto"/>
        <w:tblLook w:val="04A0" w:firstRow="1" w:lastRow="0" w:firstColumn="1" w:lastColumn="0" w:noHBand="0" w:noVBand="1"/>
      </w:tblPr>
      <w:tblGrid>
        <w:gridCol w:w="3020"/>
        <w:gridCol w:w="3021"/>
        <w:gridCol w:w="3021"/>
      </w:tblGrid>
      <w:tr w:rsidR="00ED26A7" w14:paraId="00B4A2D3" w14:textId="77777777" w:rsidTr="00ED26A7">
        <w:tc>
          <w:tcPr>
            <w:tcW w:w="3020" w:type="dxa"/>
          </w:tcPr>
          <w:p w14:paraId="40731AB9" w14:textId="65BAA054" w:rsidR="00ED26A7" w:rsidRDefault="00ED26A7" w:rsidP="00ED26A7">
            <w:pPr>
              <w:jc w:val="center"/>
              <w:rPr>
                <w:b/>
                <w:bCs/>
                <w:sz w:val="24"/>
                <w:szCs w:val="24"/>
              </w:rPr>
            </w:pPr>
            <w:r>
              <w:rPr>
                <w:b/>
                <w:bCs/>
                <w:sz w:val="24"/>
                <w:szCs w:val="24"/>
              </w:rPr>
              <w:t>Mission</w:t>
            </w:r>
          </w:p>
        </w:tc>
        <w:tc>
          <w:tcPr>
            <w:tcW w:w="3021" w:type="dxa"/>
          </w:tcPr>
          <w:p w14:paraId="1AD4FA69" w14:textId="39242315" w:rsidR="00ED26A7" w:rsidRDefault="00ED26A7" w:rsidP="00ED26A7">
            <w:pPr>
              <w:jc w:val="center"/>
              <w:rPr>
                <w:b/>
                <w:bCs/>
                <w:sz w:val="24"/>
                <w:szCs w:val="24"/>
              </w:rPr>
            </w:pPr>
            <w:r>
              <w:rPr>
                <w:b/>
                <w:bCs/>
                <w:sz w:val="24"/>
                <w:szCs w:val="24"/>
              </w:rPr>
              <w:t>Période</w:t>
            </w:r>
          </w:p>
        </w:tc>
        <w:tc>
          <w:tcPr>
            <w:tcW w:w="3021" w:type="dxa"/>
          </w:tcPr>
          <w:p w14:paraId="77974164" w14:textId="204D1D7D" w:rsidR="00ED26A7" w:rsidRDefault="00ED26A7" w:rsidP="00ED26A7">
            <w:pPr>
              <w:jc w:val="center"/>
              <w:rPr>
                <w:b/>
                <w:bCs/>
                <w:sz w:val="24"/>
                <w:szCs w:val="24"/>
              </w:rPr>
            </w:pPr>
            <w:r>
              <w:rPr>
                <w:b/>
                <w:bCs/>
                <w:sz w:val="24"/>
                <w:szCs w:val="24"/>
              </w:rPr>
              <w:t>Charge horaire</w:t>
            </w:r>
          </w:p>
        </w:tc>
      </w:tr>
      <w:tr w:rsidR="00ED26A7" w14:paraId="4D793CDF" w14:textId="77777777" w:rsidTr="00ED26A7">
        <w:tc>
          <w:tcPr>
            <w:tcW w:w="3020" w:type="dxa"/>
          </w:tcPr>
          <w:p w14:paraId="2CD7381E" w14:textId="63D5D0D5" w:rsidR="00ED26A7" w:rsidRDefault="00ED26A7" w:rsidP="00ED26A7">
            <w:pPr>
              <w:jc w:val="center"/>
              <w:rPr>
                <w:b/>
                <w:bCs/>
                <w:sz w:val="24"/>
                <w:szCs w:val="24"/>
              </w:rPr>
            </w:pPr>
            <w:r>
              <w:rPr>
                <w:b/>
                <w:bCs/>
                <w:sz w:val="24"/>
                <w:szCs w:val="24"/>
              </w:rPr>
              <w:t>Supervision de la communication préalable à l’événement</w:t>
            </w:r>
          </w:p>
        </w:tc>
        <w:tc>
          <w:tcPr>
            <w:tcW w:w="3021" w:type="dxa"/>
          </w:tcPr>
          <w:p w14:paraId="5790AAF8" w14:textId="613BEA94" w:rsidR="00ED26A7" w:rsidRDefault="00ED26A7" w:rsidP="00ED26A7">
            <w:pPr>
              <w:jc w:val="center"/>
              <w:rPr>
                <w:b/>
                <w:bCs/>
                <w:sz w:val="24"/>
                <w:szCs w:val="24"/>
              </w:rPr>
            </w:pPr>
            <w:r>
              <w:rPr>
                <w:b/>
                <w:bCs/>
                <w:sz w:val="24"/>
                <w:szCs w:val="24"/>
              </w:rPr>
              <w:t>Mai et juin 2025</w:t>
            </w:r>
          </w:p>
        </w:tc>
        <w:tc>
          <w:tcPr>
            <w:tcW w:w="3021" w:type="dxa"/>
          </w:tcPr>
          <w:p w14:paraId="63FBC9CA" w14:textId="3C2CFC0F" w:rsidR="00ED26A7" w:rsidRDefault="00ED26A7" w:rsidP="00ED26A7">
            <w:pPr>
              <w:jc w:val="center"/>
              <w:rPr>
                <w:b/>
                <w:bCs/>
                <w:sz w:val="24"/>
                <w:szCs w:val="24"/>
              </w:rPr>
            </w:pPr>
            <w:r>
              <w:rPr>
                <w:b/>
                <w:bCs/>
                <w:sz w:val="24"/>
                <w:szCs w:val="24"/>
              </w:rPr>
              <w:t>20h</w:t>
            </w:r>
          </w:p>
        </w:tc>
      </w:tr>
      <w:tr w:rsidR="00ED26A7" w14:paraId="1E2298B6" w14:textId="77777777" w:rsidTr="00ED26A7">
        <w:tc>
          <w:tcPr>
            <w:tcW w:w="3020" w:type="dxa"/>
          </w:tcPr>
          <w:p w14:paraId="3F2125D5" w14:textId="6DBA4EAC" w:rsidR="00ED26A7" w:rsidRDefault="00ED26A7" w:rsidP="00ED26A7">
            <w:pPr>
              <w:jc w:val="center"/>
              <w:rPr>
                <w:b/>
                <w:bCs/>
                <w:sz w:val="24"/>
                <w:szCs w:val="24"/>
              </w:rPr>
            </w:pPr>
            <w:r>
              <w:rPr>
                <w:b/>
                <w:bCs/>
                <w:sz w:val="24"/>
                <w:szCs w:val="24"/>
              </w:rPr>
              <w:t>Accueil des invités internationaux</w:t>
            </w:r>
          </w:p>
        </w:tc>
        <w:tc>
          <w:tcPr>
            <w:tcW w:w="3021" w:type="dxa"/>
          </w:tcPr>
          <w:p w14:paraId="75B528A7" w14:textId="682A7C10" w:rsidR="00ED26A7" w:rsidRDefault="00ED26A7" w:rsidP="00ED26A7">
            <w:pPr>
              <w:jc w:val="center"/>
              <w:rPr>
                <w:b/>
                <w:bCs/>
                <w:sz w:val="24"/>
                <w:szCs w:val="24"/>
              </w:rPr>
            </w:pPr>
            <w:r>
              <w:rPr>
                <w:b/>
                <w:bCs/>
                <w:sz w:val="24"/>
                <w:szCs w:val="24"/>
              </w:rPr>
              <w:t>10 et 11 juin 2025</w:t>
            </w:r>
          </w:p>
        </w:tc>
        <w:tc>
          <w:tcPr>
            <w:tcW w:w="3021" w:type="dxa"/>
          </w:tcPr>
          <w:p w14:paraId="41E58B6C" w14:textId="60865099" w:rsidR="00ED26A7" w:rsidRDefault="00ED26A7" w:rsidP="00ED26A7">
            <w:pPr>
              <w:jc w:val="center"/>
              <w:rPr>
                <w:b/>
                <w:bCs/>
                <w:sz w:val="24"/>
                <w:szCs w:val="24"/>
              </w:rPr>
            </w:pPr>
            <w:r>
              <w:rPr>
                <w:b/>
                <w:bCs/>
                <w:sz w:val="24"/>
                <w:szCs w:val="24"/>
              </w:rPr>
              <w:t>4h</w:t>
            </w:r>
          </w:p>
        </w:tc>
      </w:tr>
      <w:tr w:rsidR="00ED26A7" w14:paraId="329FCF21" w14:textId="77777777" w:rsidTr="00ED26A7">
        <w:tc>
          <w:tcPr>
            <w:tcW w:w="3020" w:type="dxa"/>
          </w:tcPr>
          <w:p w14:paraId="304935DD" w14:textId="57B6858B" w:rsidR="00ED26A7" w:rsidRDefault="00ED26A7" w:rsidP="00ED26A7">
            <w:pPr>
              <w:jc w:val="center"/>
              <w:rPr>
                <w:b/>
                <w:bCs/>
                <w:sz w:val="24"/>
                <w:szCs w:val="24"/>
              </w:rPr>
            </w:pPr>
            <w:r>
              <w:rPr>
                <w:b/>
                <w:bCs/>
                <w:sz w:val="24"/>
                <w:szCs w:val="24"/>
              </w:rPr>
              <w:t>Rédaction d’un compte-rendu</w:t>
            </w:r>
          </w:p>
        </w:tc>
        <w:tc>
          <w:tcPr>
            <w:tcW w:w="3021" w:type="dxa"/>
          </w:tcPr>
          <w:p w14:paraId="03A43E86" w14:textId="58C6289A" w:rsidR="00ED26A7" w:rsidRDefault="00ED26A7" w:rsidP="00ED26A7">
            <w:pPr>
              <w:jc w:val="center"/>
              <w:rPr>
                <w:b/>
                <w:bCs/>
                <w:sz w:val="24"/>
                <w:szCs w:val="24"/>
              </w:rPr>
            </w:pPr>
            <w:r>
              <w:rPr>
                <w:b/>
                <w:bCs/>
                <w:sz w:val="24"/>
                <w:szCs w:val="24"/>
              </w:rPr>
              <w:t>Juin 2025</w:t>
            </w:r>
          </w:p>
        </w:tc>
        <w:tc>
          <w:tcPr>
            <w:tcW w:w="3021" w:type="dxa"/>
          </w:tcPr>
          <w:p w14:paraId="4EFF48FC" w14:textId="23E80D2B" w:rsidR="00ED26A7" w:rsidRDefault="00ED26A7" w:rsidP="00ED26A7">
            <w:pPr>
              <w:jc w:val="center"/>
              <w:rPr>
                <w:b/>
                <w:bCs/>
                <w:sz w:val="24"/>
                <w:szCs w:val="24"/>
              </w:rPr>
            </w:pPr>
            <w:r>
              <w:rPr>
                <w:b/>
                <w:bCs/>
                <w:sz w:val="24"/>
                <w:szCs w:val="24"/>
              </w:rPr>
              <w:t>6h</w:t>
            </w:r>
          </w:p>
        </w:tc>
      </w:tr>
    </w:tbl>
    <w:p w14:paraId="681D77BA" w14:textId="77777777" w:rsidR="00754419" w:rsidRPr="00754419" w:rsidRDefault="00754419" w:rsidP="00F964B2">
      <w:pPr>
        <w:rPr>
          <w:b/>
          <w:bCs/>
          <w:sz w:val="24"/>
          <w:szCs w:val="24"/>
        </w:rPr>
      </w:pPr>
    </w:p>
    <w:sectPr w:rsidR="00754419" w:rsidRPr="007544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398"/>
    <w:rsid w:val="00307D8E"/>
    <w:rsid w:val="004B2FE2"/>
    <w:rsid w:val="00694DD6"/>
    <w:rsid w:val="00754419"/>
    <w:rsid w:val="00764A09"/>
    <w:rsid w:val="0094015D"/>
    <w:rsid w:val="00C32005"/>
    <w:rsid w:val="00D93CDB"/>
    <w:rsid w:val="00DE4398"/>
    <w:rsid w:val="00ED26A7"/>
    <w:rsid w:val="00F964B2"/>
    <w:rsid w:val="00FF0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BFBF"/>
  <w15:chartTrackingRefBased/>
  <w15:docId w15:val="{638A5F6C-9736-40EC-9AFE-38F00799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E43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E43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E4398"/>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E4398"/>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E4398"/>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E43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E43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E43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E43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link w:val="Style1Car"/>
    <w:autoRedefine/>
    <w:qFormat/>
    <w:rsid w:val="0094015D"/>
    <w:rPr>
      <w:rFonts w:ascii="Times New Roman" w:hAnsi="Times New Roman" w:cs="Arial"/>
      <w:b/>
      <w:sz w:val="28"/>
      <w:lang w:val="en-CA"/>
    </w:rPr>
  </w:style>
  <w:style w:type="character" w:customStyle="1" w:styleId="Style1Car">
    <w:name w:val="Style1 Car"/>
    <w:basedOn w:val="Policepardfaut"/>
    <w:link w:val="Style1"/>
    <w:rsid w:val="0094015D"/>
    <w:rPr>
      <w:rFonts w:ascii="Times New Roman" w:hAnsi="Times New Roman" w:cs="Arial"/>
      <w:b/>
      <w:sz w:val="28"/>
      <w:lang w:val="en-CA"/>
    </w:rPr>
  </w:style>
  <w:style w:type="character" w:customStyle="1" w:styleId="Titre1Car">
    <w:name w:val="Titre 1 Car"/>
    <w:basedOn w:val="Policepardfaut"/>
    <w:link w:val="Titre1"/>
    <w:uiPriority w:val="9"/>
    <w:rsid w:val="00DE4398"/>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E439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E4398"/>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E4398"/>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E4398"/>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E43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E43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E43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E4398"/>
    <w:rPr>
      <w:rFonts w:eastAsiaTheme="majorEastAsia" w:cstheme="majorBidi"/>
      <w:color w:val="272727" w:themeColor="text1" w:themeTint="D8"/>
    </w:rPr>
  </w:style>
  <w:style w:type="paragraph" w:styleId="Titre">
    <w:name w:val="Title"/>
    <w:basedOn w:val="Normal"/>
    <w:next w:val="Normal"/>
    <w:link w:val="TitreCar"/>
    <w:uiPriority w:val="10"/>
    <w:qFormat/>
    <w:rsid w:val="00DE4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E43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E43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E43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E4398"/>
    <w:pPr>
      <w:spacing w:before="160"/>
      <w:jc w:val="center"/>
    </w:pPr>
    <w:rPr>
      <w:i/>
      <w:iCs/>
      <w:color w:val="404040" w:themeColor="text1" w:themeTint="BF"/>
    </w:rPr>
  </w:style>
  <w:style w:type="character" w:customStyle="1" w:styleId="CitationCar">
    <w:name w:val="Citation Car"/>
    <w:basedOn w:val="Policepardfaut"/>
    <w:link w:val="Citation"/>
    <w:uiPriority w:val="29"/>
    <w:rsid w:val="00DE4398"/>
    <w:rPr>
      <w:i/>
      <w:iCs/>
      <w:color w:val="404040" w:themeColor="text1" w:themeTint="BF"/>
    </w:rPr>
  </w:style>
  <w:style w:type="paragraph" w:styleId="Paragraphedeliste">
    <w:name w:val="List Paragraph"/>
    <w:basedOn w:val="Normal"/>
    <w:uiPriority w:val="34"/>
    <w:qFormat/>
    <w:rsid w:val="00DE4398"/>
    <w:pPr>
      <w:ind w:left="720"/>
      <w:contextualSpacing/>
    </w:pPr>
  </w:style>
  <w:style w:type="character" w:styleId="Accentuationintense">
    <w:name w:val="Intense Emphasis"/>
    <w:basedOn w:val="Policepardfaut"/>
    <w:uiPriority w:val="21"/>
    <w:qFormat/>
    <w:rsid w:val="00DE4398"/>
    <w:rPr>
      <w:i/>
      <w:iCs/>
      <w:color w:val="2F5496" w:themeColor="accent1" w:themeShade="BF"/>
    </w:rPr>
  </w:style>
  <w:style w:type="paragraph" w:styleId="Citationintense">
    <w:name w:val="Intense Quote"/>
    <w:basedOn w:val="Normal"/>
    <w:next w:val="Normal"/>
    <w:link w:val="CitationintenseCar"/>
    <w:uiPriority w:val="30"/>
    <w:qFormat/>
    <w:rsid w:val="00DE43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E4398"/>
    <w:rPr>
      <w:i/>
      <w:iCs/>
      <w:color w:val="2F5496" w:themeColor="accent1" w:themeShade="BF"/>
    </w:rPr>
  </w:style>
  <w:style w:type="character" w:styleId="Rfrenceintense">
    <w:name w:val="Intense Reference"/>
    <w:basedOn w:val="Policepardfaut"/>
    <w:uiPriority w:val="32"/>
    <w:qFormat/>
    <w:rsid w:val="00DE4398"/>
    <w:rPr>
      <w:b/>
      <w:bCs/>
      <w:smallCaps/>
      <w:color w:val="2F5496" w:themeColor="accent1" w:themeShade="BF"/>
      <w:spacing w:val="5"/>
    </w:rPr>
  </w:style>
  <w:style w:type="table" w:styleId="Grilledutableau">
    <w:name w:val="Table Grid"/>
    <w:basedOn w:val="TableauNormal"/>
    <w:uiPriority w:val="39"/>
    <w:rsid w:val="00ED2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456</Words>
  <Characters>2509</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Maria_Minulina Moreira</cp:lastModifiedBy>
  <cp:revision>2</cp:revision>
  <dcterms:created xsi:type="dcterms:W3CDTF">2025-02-26T15:02:00Z</dcterms:created>
  <dcterms:modified xsi:type="dcterms:W3CDTF">2025-02-26T15:02:00Z</dcterms:modified>
</cp:coreProperties>
</file>