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sdt>
      <w:sdtPr>
        <w15:appearance w15:val="boundingBox"/>
        <w:id w:val="-551385334"/>
        <w:docPartObj>
          <w:docPartGallery w:val="Cover Pages"/>
          <w:docPartUnique w:val="true"/>
        </w:docPartObj>
        <w:rPr>
          <w:b/>
          <w:bCs/>
          <w:sz w:val="32"/>
          <w:szCs w:val="32"/>
          <w:u w:val="single"/>
        </w:rPr>
      </w:sdtPr>
      <w:sdtContent>
        <w:p>
          <w:pPr>
            <w:pStyle w:val="1070"/>
            <w:pBdr/>
            <w:tabs>
              <w:tab w:val="clear" w:leader="none" w:pos="4844"/>
              <w:tab w:val="left" w:leader="none" w:pos="5506"/>
              <w:tab w:val="clear" w:leader="none" w:pos="9689"/>
            </w:tabs>
            <w:spacing/>
            <w:ind/>
            <w:rPr/>
          </w:pPr>
          <w:r/>
          <w:sdt>
            <w:sdtPr>
              <w15:appearance w15:val="boundingBox"/>
              <w:id w:val="-1548521248"/>
              <w:docPartObj>
                <w:docPartGallery w:val="Cover Pages"/>
                <w:docPartUnique w:val="true"/>
              </w:docPartObj>
              <w:rPr>
                <w:rFonts w:cstheme="minorHAnsi"/>
                <w:b/>
                <w:u w:val="single"/>
              </w:rPr>
            </w:sdtPr>
            <w:sdtContent>
              <w:r>
                <w:rPr>
                  <w:rFonts w:cstheme="minorHAnsi"/>
                  <w:b/>
                  <w:u w:val="single"/>
                </w:rP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page">
                          <wp:align>center</wp:align>
                        </wp:positionH>
                        <wp:positionV relativeFrom="page">
                          <wp:align>center</wp:align>
                        </wp:positionV>
                        <wp:extent cx="1712890" cy="3840480"/>
                        <wp:effectExtent l="0" t="0" r="1270" b="0"/>
                        <wp:wrapNone/>
                        <wp:docPr id="6" name="Zone de texte 6"/>
                        <wp:cNvGraphicFramePr/>
                        <a:graphic xmlns:a="http://schemas.openxmlformats.org/drawingml/2006/main">
                          <a:graphicData uri="http://schemas.microsoft.com/office/word/2010/wordprocessingShape">
                            <wps:wsp>
                              <wps:cNvPr id="0" name=""/>
                              <wps:cNvSpPr txBox="1"/>
                              <wps:spPr bwMode="auto">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color="ed7d31" w:themeColor="accent2" w:sz="12" w:space="0"/>
                                      </w:tblBorders>
                                      <w:tblCellMar>
                                        <w:left w:w="360" w:type="dxa"/>
                                        <w:top w:w="1296" w:type="dxa"/>
                                        <w:right w:w="360" w:type="dxa"/>
                                        <w:bottom w:w="1296" w:type="dxa"/>
                                      </w:tblCellMar>
                                      <w:tblLook w:val="04A0" w:firstRow="1" w:lastRow="0" w:firstColumn="1" w:lastColumn="0" w:noHBand="0" w:noVBand="1"/>
                                    </w:tblPr>
                                    <w:tblGrid>
                                      <w:gridCol w:w="5742"/>
                                      <w:gridCol w:w="5438"/>
                                    </w:tblGrid>
                                    <w:tr>
                                      <w:trPr>
                                        <w:jc w:val="center"/>
                                      </w:trPr>
                                      <w:tc>
                                        <w:tcPr>
                                          <w:tcBorders>
                                            <w:right w:val="single" w:color="70ad47" w:themeColor="accent6" w:sz="12" w:space="0"/>
                                          </w:tcBorders>
                                          <w:tcW w:w="2568" w:type="pct"/>
                                          <w:vAlign w:val="center"/>
                                          <w:textDirection w:val="lrTb"/>
                                          <w:noWrap w:val="false"/>
                                        </w:tcPr>
                                        <w:p>
                                          <w:pPr>
                                            <w:pBdr/>
                                            <w:spacing/>
                                            <w:ind/>
                                            <w:jc w:val="right"/>
                                            <w:rPr/>
                                          </w:pPr>
                                          <w:r>
                                            <mc:AlternateContent>
                                              <mc:Choice Requires="wpg">
                                                <w:drawing>
                                                  <wp:inline xmlns:wp="http://schemas.openxmlformats.org/drawingml/2006/wordprocessingDrawing" distT="0" distB="0" distL="0" distR="0">
                                                    <wp:extent cx="2873603" cy="3831336"/>
                                                    <wp:effectExtent l="0" t="0" r="3175" b="0"/>
                                                    <wp:docPr id="7"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06945" name="tree crop.jpg"/>
                                                            <pic:cNvPicPr>
                                                              <a:picLocks noChangeAspect="1"/>
                                                            </pic:cNvPicPr>
                                                            <pic:nvPr/>
                                                          </pic:nvPicPr>
                                                          <pic:blipFill>
                                                            <a:blip r:embed="rId16"/>
                                                            <a:stretch/>
                                                          </pic:blipFill>
                                                          <pic:spPr bwMode="auto">
                                                            <a:xfrm>
                                                              <a:off x="0" y="0"/>
                                                              <a:ext cx="2873601" cy="38313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6.27pt;height:301.68pt;mso-wrap-distance-left:0.00pt;mso-wrap-distance-top:0.00pt;mso-wrap-distance-right:0.00pt;mso-wrap-distance-bottom:0.00pt;z-index:1;" stroked="false">
                                                    <v:imagedata r:id="rId16" o:title=""/>
                                                    <o:lock v:ext="edit" rotation="t"/>
                                                  </v:shape>
                                                </w:pict>
                                              </mc:Fallback>
                                            </mc:AlternateContent>
                                          </w:r>
                                          <w:r>
                                            <w:t xml:space="preserve">©Véronique Vernette </w:t>
                                          </w:r>
                                          <w:r/>
                                        </w:p>
                                        <w:p>
                                          <w:pPr>
                                            <w:pBdr/>
                                            <w:spacing/>
                                            <w:ind/>
                                            <w:jc w:val="right"/>
                                            <w:rPr>
                                              <w:bCs/>
                                              <w:i/>
                                              <w:highlight w:val="yellow"/>
                                            </w:rPr>
                                          </w:pPr>
                                          <w:r>
                                            <w:rPr>
                                              <w:bCs/>
                                              <w:i/>
                                              <w:highlight w:val="yellow"/>
                                            </w:rPr>
                                          </w:r>
                                          <w:r>
                                            <w:rPr>
                                              <w:bCs/>
                                              <w:i/>
                                              <w:highlight w:val="yellow"/>
                                            </w:rPr>
                                          </w:r>
                                        </w:p>
                                        <w:p>
                                          <w:pPr>
                                            <w:pStyle w:val="1065"/>
                                            <w:pBdr/>
                                            <w:spacing/>
                                            <w:ind/>
                                            <w:rPr/>
                                          </w:pPr>
                                          <w:r/>
                                          <w:r/>
                                        </w:p>
                                        <w:sdt>
                                          <w:sdtPr>
                                            <w:alias w:val="Sous-titre"/>
                                            <w15:appearance w15:val="boundingBox"/>
                                            <w:id w:val="788017576"/>
                                            <w:showingPlcHdr w:val="true"/>
                                            <w:tag w:val=""/>
                                            <w:rPr>
                                              <w:color w:val="000000" w:themeColor="text1"/>
                                              <w:sz w:val="24"/>
                                              <w:szCs w:val="24"/>
                                            </w:rPr>
                                          </w:sdtPr>
                                          <w:sdtContent>
                                            <w:p>
                                              <w:pPr>
                                                <w:pBdr/>
                                                <w:spacing/>
                                                <w:ind/>
                                                <w:jc w:val="right"/>
                                                <w:rPr>
                                                  <w:sz w:val="24"/>
                                                  <w:szCs w:val="24"/>
                                                </w:rPr>
                                              </w:pPr>
                                              <w:r>
                                                <w:rPr>
                                                  <w:color w:val="000000" w:themeColor="text1"/>
                                                  <w:sz w:val="24"/>
                                                  <w:szCs w:val="24"/>
                                                </w:rPr>
                                                <w:t xml:space="preserve">     </w:t>
                                              </w:r>
                                              <w:r>
                                                <w:rPr>
                                                  <w:sz w:val="24"/>
                                                  <w:szCs w:val="24"/>
                                                </w:rPr>
                                              </w:r>
                                            </w:p>
                                          </w:sdtContent>
                                        </w:sdt>
                                      </w:tc>
                                      <w:tc>
                                        <w:tcPr>
                                          <w:tcBorders>
                                            <w:left w:val="single" w:color="70ad47" w:themeColor="accent6" w:sz="12" w:space="0"/>
                                          </w:tcBorders>
                                          <w:tcW w:w="2432" w:type="pct"/>
                                          <w:vAlign w:val="center"/>
                                          <w:textDirection w:val="lrTb"/>
                                          <w:noWrap w:val="false"/>
                                        </w:tcPr>
                                        <w:p>
                                          <w:pPr>
                                            <w:pStyle w:val="1065"/>
                                            <w:pBdr/>
                                            <w:spacing/>
                                            <w:ind/>
                                            <w:rPr>
                                              <w:caps/>
                                              <w:color w:val="ffffff" w:themeColor="background1"/>
                                              <w:sz w:val="40"/>
                                              <w:szCs w:val="40"/>
                                            </w:rPr>
                                          </w:pPr>
                                          <w:r>
                                            <w:rPr>
                                              <w:caps/>
                                              <w:color w:val="ffffff" w:themeColor="background1"/>
                                              <w:sz w:val="40"/>
                                              <w:szCs w:val="40"/>
                                              <w:highlight w:val="black"/>
                                            </w:rPr>
                                            <w:t xml:space="preserve">diplÔme Universitaire</w:t>
                                          </w:r>
                                          <w:r>
                                            <w:rPr>
                                              <w:caps/>
                                              <w:color w:val="ffffff" w:themeColor="background1"/>
                                              <w:sz w:val="40"/>
                                              <w:szCs w:val="40"/>
                                            </w:rPr>
                                          </w:r>
                                        </w:p>
                                        <w:p>
                                          <w:pPr>
                                            <w:pStyle w:val="1065"/>
                                            <w:pBdr/>
                                            <w:spacing/>
                                            <w:ind w:right="-87"/>
                                            <w:rPr>
                                              <w:b/>
                                              <w:caps/>
                                              <w:sz w:val="36"/>
                                              <w:szCs w:val="36"/>
                                            </w:rPr>
                                          </w:pPr>
                                          <w:r>
                                            <w:rPr>
                                              <w:b/>
                                              <w:caps/>
                                              <w:sz w:val="36"/>
                                              <w:szCs w:val="36"/>
                                            </w:rPr>
                                            <w:t xml:space="preserve">ARTS POUR LE JEUNE PUBLIC</w:t>
                                          </w:r>
                                          <w:r>
                                            <w:rPr>
                                              <w:b/>
                                              <w:caps/>
                                              <w:sz w:val="36"/>
                                              <w:szCs w:val="36"/>
                                            </w:rPr>
                                          </w:r>
                                        </w:p>
                                        <w:p>
                                          <w:pPr>
                                            <w:pStyle w:val="1065"/>
                                            <w:pBdr/>
                                            <w:spacing/>
                                            <w:ind/>
                                            <w:rPr/>
                                          </w:pPr>
                                          <w:r>
                                            <w:t xml:space="preserve">Œuvres, enjeux et perspectives</w:t>
                                          </w:r>
                                          <w:r/>
                                        </w:p>
                                        <w:p>
                                          <w:pPr>
                                            <w:pStyle w:val="1065"/>
                                            <w:pBdr/>
                                            <w:spacing/>
                                            <w:ind/>
                                            <w:rPr/>
                                          </w:pPr>
                                          <w:r/>
                                          <w:r/>
                                        </w:p>
                                        <w:p>
                                          <w:pPr>
                                            <w:pStyle w:val="1065"/>
                                            <w:pBdr/>
                                            <w:spacing/>
                                            <w:ind/>
                                            <w:rPr/>
                                          </w:pPr>
                                          <w:r/>
                                          <w:r/>
                                        </w:p>
                                      </w:tc>
                                    </w:tr>
                                  </w:tbl>
                                  <w:p>
                                    <w:pPr>
                                      <w:pBdr/>
                                      <w:spacing/>
                                      <w:ind/>
                                      <w:rPr/>
                                    </w:pPr>
                                    <w:r/>
                                    <w:r/>
                                  </w:p>
                                </w:txbxContent>
                              </wps:txbx>
                              <wps:bodyPr rot="0" spcFirstLastPara="0" vertOverflow="overflow" horzOverflow="overflow" vert="horz" wrap="square" lIns="0" tIns="0" rIns="0" bIns="0" numCol="1" spcCol="0" rtlCol="0" fromWordArt="0" anchor="ctr" anchorCtr="0" forceAA="0" compatLnSpc="1">
                                <a:prstTxWarp prst="textNoShape"/>
                                <a:noAutofit/>
                              </wps:bodyPr>
                            </wps:wsp>
                          </a:graphicData>
                        </a:graphic>
                        <wp14:sizeRelH relativeFrom="page">
                          <wp14:pctWidth>94000</wp14:pctWidth>
                        </wp14:sizeRelH>
                        <wp14:sizeRelV relativeFrom="page">
                          <wp14:pctHeight>77000</wp14:pctHeight>
                        </wp14:sizeRelV>
                      </wp:anchor>
                    </w:drawing>
                  </mc:Choice>
                  <mc:Fallback>
                    <w:pict>
                      <v:shape id="shape 6" o:spid="_x0000_s6" o:spt="202" type="#_x0000_t202" style="position:absolute;z-index:251661312;o:allowoverlap:true;o:allowincell:true;mso-position-horizontal-relative:page;mso-position-horizontal:center;mso-position-vertical-relative:page;mso-position-vertical:center;width:134.87pt;height:302.40pt;mso-wrap-distance-left:9.00pt;mso-wrap-distance-top:0.00pt;mso-wrap-distance-right:9.00pt;mso-wrap-distance-bottom:0.00pt;v-text-anchor:middle;visibility:visible;" fillcolor="#FFFFFF" stroked="f" strokeweight="0.50pt">
                        <v:textbox inset="0,0,0,0">
                          <w:txbxContent>
                            <w:tbl>
                              <w:tblPr>
                                <w:tblW w:w="5000" w:type="pct"/>
                                <w:jc w:val="center"/>
                                <w:tblBorders>
                                  <w:insideV w:val="single" w:color="ed7d31" w:themeColor="accent2" w:sz="12" w:space="0"/>
                                </w:tblBorders>
                                <w:tblCellMar>
                                  <w:left w:w="360" w:type="dxa"/>
                                  <w:top w:w="1296" w:type="dxa"/>
                                  <w:right w:w="360" w:type="dxa"/>
                                  <w:bottom w:w="1296" w:type="dxa"/>
                                </w:tblCellMar>
                                <w:tblLook w:val="04A0" w:firstRow="1" w:lastRow="0" w:firstColumn="1" w:lastColumn="0" w:noHBand="0" w:noVBand="1"/>
                              </w:tblPr>
                              <w:tblGrid>
                                <w:gridCol w:w="5742"/>
                                <w:gridCol w:w="5438"/>
                              </w:tblGrid>
                              <w:tr>
                                <w:trPr>
                                  <w:jc w:val="center"/>
                                </w:trPr>
                                <w:tc>
                                  <w:tcPr>
                                    <w:tcBorders>
                                      <w:right w:val="single" w:color="70ad47" w:themeColor="accent6" w:sz="12" w:space="0"/>
                                    </w:tcBorders>
                                    <w:tcW w:w="2568" w:type="pct"/>
                                    <w:vAlign w:val="center"/>
                                    <w:textDirection w:val="lrTb"/>
                                    <w:noWrap w:val="false"/>
                                  </w:tcPr>
                                  <w:p>
                                    <w:pPr>
                                      <w:pBdr/>
                                      <w:spacing/>
                                      <w:ind/>
                                      <w:jc w:val="right"/>
                                      <w:rPr/>
                                    </w:pPr>
                                    <w:r>
                                      <mc:AlternateContent>
                                        <mc:Choice Requires="wpg">
                                          <w:drawing>
                                            <wp:inline xmlns:wp="http://schemas.openxmlformats.org/drawingml/2006/wordprocessingDrawing" distT="0" distB="0" distL="0" distR="0">
                                              <wp:extent cx="2873603" cy="3831336"/>
                                              <wp:effectExtent l="0" t="0" r="3175" b="0"/>
                                              <wp:docPr id="7"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06945" name="tree crop.jpg"/>
                                                      <pic:cNvPicPr>
                                                        <a:picLocks noChangeAspect="1"/>
                                                      </pic:cNvPicPr>
                                                      <pic:nvPr/>
                                                    </pic:nvPicPr>
                                                    <pic:blipFill>
                                                      <a:blip r:embed="rId16"/>
                                                      <a:stretch/>
                                                    </pic:blipFill>
                                                    <pic:spPr bwMode="auto">
                                                      <a:xfrm>
                                                        <a:off x="0" y="0"/>
                                                        <a:ext cx="2873601" cy="38313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6.27pt;height:301.68pt;mso-wrap-distance-left:0.00pt;mso-wrap-distance-top:0.00pt;mso-wrap-distance-right:0.00pt;mso-wrap-distance-bottom:0.00pt;z-index:1;" stroked="false">
                                              <v:imagedata r:id="rId16" o:title=""/>
                                              <o:lock v:ext="edit" rotation="t"/>
                                            </v:shape>
                                          </w:pict>
                                        </mc:Fallback>
                                      </mc:AlternateContent>
                                    </w:r>
                                    <w:r>
                                      <w:t xml:space="preserve">©Véronique Vernette </w:t>
                                    </w:r>
                                    <w:r/>
                                  </w:p>
                                  <w:p>
                                    <w:pPr>
                                      <w:pBdr/>
                                      <w:spacing/>
                                      <w:ind/>
                                      <w:jc w:val="right"/>
                                      <w:rPr>
                                        <w:bCs/>
                                        <w:i/>
                                        <w:highlight w:val="yellow"/>
                                      </w:rPr>
                                    </w:pPr>
                                    <w:r>
                                      <w:rPr>
                                        <w:bCs/>
                                        <w:i/>
                                        <w:highlight w:val="yellow"/>
                                      </w:rPr>
                                    </w:r>
                                    <w:r>
                                      <w:rPr>
                                        <w:bCs/>
                                        <w:i/>
                                        <w:highlight w:val="yellow"/>
                                      </w:rPr>
                                    </w:r>
                                  </w:p>
                                  <w:p>
                                    <w:pPr>
                                      <w:pStyle w:val="1065"/>
                                      <w:pBdr/>
                                      <w:spacing/>
                                      <w:ind/>
                                      <w:rPr/>
                                    </w:pPr>
                                    <w:r/>
                                    <w:r/>
                                  </w:p>
                                  <w:sdt>
                                    <w:sdtPr>
                                      <w:alias w:val="Sous-titre"/>
                                      <w15:appearance w15:val="boundingBox"/>
                                      <w:id w:val="788017576"/>
                                      <w:showingPlcHdr w:val="true"/>
                                      <w:tag w:val=""/>
                                      <w:rPr>
                                        <w:color w:val="000000" w:themeColor="text1"/>
                                        <w:sz w:val="24"/>
                                        <w:szCs w:val="24"/>
                                      </w:rPr>
                                    </w:sdtPr>
                                    <w:sdtContent>
                                      <w:p>
                                        <w:pPr>
                                          <w:pBdr/>
                                          <w:spacing/>
                                          <w:ind/>
                                          <w:jc w:val="right"/>
                                          <w:rPr>
                                            <w:sz w:val="24"/>
                                            <w:szCs w:val="24"/>
                                          </w:rPr>
                                        </w:pPr>
                                        <w:r>
                                          <w:rPr>
                                            <w:color w:val="000000" w:themeColor="text1"/>
                                            <w:sz w:val="24"/>
                                            <w:szCs w:val="24"/>
                                          </w:rPr>
                                          <w:t xml:space="preserve">     </w:t>
                                        </w:r>
                                        <w:r>
                                          <w:rPr>
                                            <w:sz w:val="24"/>
                                            <w:szCs w:val="24"/>
                                          </w:rPr>
                                        </w:r>
                                      </w:p>
                                    </w:sdtContent>
                                  </w:sdt>
                                </w:tc>
                                <w:tc>
                                  <w:tcPr>
                                    <w:tcBorders>
                                      <w:left w:val="single" w:color="70ad47" w:themeColor="accent6" w:sz="12" w:space="0"/>
                                    </w:tcBorders>
                                    <w:tcW w:w="2432" w:type="pct"/>
                                    <w:vAlign w:val="center"/>
                                    <w:textDirection w:val="lrTb"/>
                                    <w:noWrap w:val="false"/>
                                  </w:tcPr>
                                  <w:p>
                                    <w:pPr>
                                      <w:pStyle w:val="1065"/>
                                      <w:pBdr/>
                                      <w:spacing/>
                                      <w:ind/>
                                      <w:rPr>
                                        <w:caps/>
                                        <w:color w:val="ffffff" w:themeColor="background1"/>
                                        <w:sz w:val="40"/>
                                        <w:szCs w:val="40"/>
                                      </w:rPr>
                                    </w:pPr>
                                    <w:r>
                                      <w:rPr>
                                        <w:caps/>
                                        <w:color w:val="ffffff" w:themeColor="background1"/>
                                        <w:sz w:val="40"/>
                                        <w:szCs w:val="40"/>
                                        <w:highlight w:val="black"/>
                                      </w:rPr>
                                      <w:t xml:space="preserve">diplÔme Universitaire</w:t>
                                    </w:r>
                                    <w:r>
                                      <w:rPr>
                                        <w:caps/>
                                        <w:color w:val="ffffff" w:themeColor="background1"/>
                                        <w:sz w:val="40"/>
                                        <w:szCs w:val="40"/>
                                      </w:rPr>
                                    </w:r>
                                  </w:p>
                                  <w:p>
                                    <w:pPr>
                                      <w:pStyle w:val="1065"/>
                                      <w:pBdr/>
                                      <w:spacing/>
                                      <w:ind w:right="-87"/>
                                      <w:rPr>
                                        <w:b/>
                                        <w:caps/>
                                        <w:sz w:val="36"/>
                                        <w:szCs w:val="36"/>
                                      </w:rPr>
                                    </w:pPr>
                                    <w:r>
                                      <w:rPr>
                                        <w:b/>
                                        <w:caps/>
                                        <w:sz w:val="36"/>
                                        <w:szCs w:val="36"/>
                                      </w:rPr>
                                      <w:t xml:space="preserve">ARTS POUR LE JEUNE PUBLIC</w:t>
                                    </w:r>
                                    <w:r>
                                      <w:rPr>
                                        <w:b/>
                                        <w:caps/>
                                        <w:sz w:val="36"/>
                                        <w:szCs w:val="36"/>
                                      </w:rPr>
                                    </w:r>
                                  </w:p>
                                  <w:p>
                                    <w:pPr>
                                      <w:pStyle w:val="1065"/>
                                      <w:pBdr/>
                                      <w:spacing/>
                                      <w:ind/>
                                      <w:rPr/>
                                    </w:pPr>
                                    <w:r>
                                      <w:t xml:space="preserve">Œuvres, enjeux et perspectives</w:t>
                                    </w:r>
                                    <w:r/>
                                  </w:p>
                                  <w:p>
                                    <w:pPr>
                                      <w:pStyle w:val="1065"/>
                                      <w:pBdr/>
                                      <w:spacing/>
                                      <w:ind/>
                                      <w:rPr/>
                                    </w:pPr>
                                    <w:r/>
                                    <w:r/>
                                  </w:p>
                                  <w:p>
                                    <w:pPr>
                                      <w:pStyle w:val="1065"/>
                                      <w:pBdr/>
                                      <w:spacing/>
                                      <w:ind/>
                                      <w:rPr/>
                                    </w:pPr>
                                    <w:r/>
                                    <w:r/>
                                  </w:p>
                                </w:tc>
                              </w:tr>
                            </w:tbl>
                            <w:p>
                              <w:pPr>
                                <w:pBdr/>
                                <w:spacing/>
                                <w:ind/>
                                <w:rPr/>
                              </w:pPr>
                              <w:r/>
                              <w:r/>
                            </w:p>
                          </w:txbxContent>
                        </v:textbox>
                      </v:shape>
                    </w:pict>
                  </mc:Fallback>
                </mc:AlternateContent>
              </w:r>
            </w:sdtContent>
          </w:sdt>
          <w:r>
            <w:tab/>
          </w:r>
          <w:r>
            <w:tab/>
          </w:r>
          <w:r>
            <w:tab/>
          </w:r>
          <w:r>
            <w:tab/>
          </w:r>
          <w:r>
            <w:tab/>
          </w:r>
          <w:r/>
        </w:p>
        <w:p>
          <w:pPr>
            <w:pBdr/>
            <w:spacing/>
            <w:ind/>
            <w:rPr>
              <w:rFonts w:cstheme="minorHAnsi"/>
              <w:b/>
              <w:u w:val="single"/>
            </w:rPr>
          </w:pPr>
          <w:r>
            <w:rPr>
              <w:b/>
              <w:bCs/>
              <w:color w:val="2f5496" w:themeColor="accent1" w:themeShade="BF"/>
              <w:sz w:val="32"/>
              <w:szCs w:val="32"/>
              <w:u w:val="single"/>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8" name="Zone de texte 138"/>
                    <wp:cNvGraphicFramePr/>
                    <a:graphic xmlns:a="http://schemas.openxmlformats.org/drawingml/2006/main">
                      <a:graphicData uri="http://schemas.microsoft.com/office/word/2010/wordprocessingShape">
                        <wps:wsp>
                          <wps:cNvPr id="0" name=""/>
                          <wps:cNvSpPr txBox="1"/>
                          <wps:spPr bwMode="auto">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Bdr/>
                                  <w:spacing/>
                                  <w:ind/>
                                  <w:rPr/>
                                </w:pPr>
                                <w:r/>
                                <w:r/>
                              </w:p>
                            </w:txbxContent>
                          </wps:txbx>
                          <wps:bodyPr rot="0" spcFirstLastPara="0" vertOverflow="overflow" horzOverflow="overflow" vert="horz" wrap="square" lIns="0" tIns="0" rIns="0" bIns="0" numCol="1" spcCol="0" rtlCol="0" fromWordArt="0" anchor="ctr" anchorCtr="0" forceAA="0" compatLnSpc="1">
                            <a:prstTxWarp prst="textNoShape"/>
                            <a:noAutofit/>
                          </wps:bodyPr>
                        </wps:wsp>
                      </a:graphicData>
                    </a:graphic>
                    <wp14:sizeRelH relativeFrom="page">
                      <wp14:pctWidth>94000</wp14:pctWidth>
                    </wp14:sizeRelH>
                    <wp14:sizeRelV relativeFrom="page">
                      <wp14:pctHeight>77000</wp14:pctHeight>
                    </wp14:sizeRelV>
                  </wp:anchor>
                </w:drawing>
              </mc:Choice>
              <mc:Fallback>
                <w:pict>
                  <v:shape id="shape 7" o:spid="_x0000_s7" o:spt="202" type="#_x0000_t202" style="position:absolute;z-index:251659264;o:allowoverlap:true;o:allowincell:true;mso-position-horizontal-relative:page;mso-position-horizontal:center;mso-position-vertical-relative:page;mso-position-vertical:center;width:134.87pt;height:302.40pt;mso-wrap-distance-left:9.00pt;mso-wrap-distance-top:0.00pt;mso-wrap-distance-right:9.00pt;mso-wrap-distance-bottom:0.00pt;v-text-anchor:middle;visibility:visible;" fillcolor="#FFFFFF" stroked="f" strokeweight="0.50pt">
                    <v:textbox inset="0,0,0,0">
                      <w:txbxContent>
                        <w:p>
                          <w:pPr>
                            <w:pBdr/>
                            <w:spacing/>
                            <w:ind/>
                            <w:rPr/>
                          </w:pPr>
                          <w:r/>
                          <w:r/>
                        </w:p>
                      </w:txbxContent>
                    </v:textbox>
                  </v:shape>
                </w:pict>
              </mc:Fallback>
            </mc:AlternateContent>
          </w:r>
          <w:r>
            <w:rPr>
              <w:rFonts w:cstheme="minorHAnsi"/>
              <w:b/>
              <w:u w:val="single"/>
            </w:rPr>
          </w:r>
        </w:p>
      </w:sdtContent>
    </w:sdt>
    <w:p>
      <w:pPr>
        <w:pStyle w:val="891"/>
        <w:pBdr/>
        <w:spacing/>
        <w:ind/>
        <w:jc w:val="center"/>
        <w:rPr>
          <w:rFonts w:ascii="Barlow" w:hAnsi="Barlow" w:eastAsia="Barlow" w:cs="Barlow"/>
          <w:b/>
          <w:bCs/>
          <w:sz w:val="32"/>
          <w:szCs w:val="32"/>
          <w:u w:val="single"/>
        </w:rPr>
      </w:pPr>
      <w:r>
        <w:rPr>
          <w:rFonts w:ascii="Barlow" w:hAnsi="Barlow" w:eastAsia="Barlow" w:cs="Barlow"/>
          <w:b/>
          <w:bCs/>
          <w:sz w:val="32"/>
          <w:szCs w:val="32"/>
          <w:u w:val="single"/>
        </w:rPr>
      </w:r>
      <w:r>
        <w:rPr>
          <w:rFonts w:ascii="Barlow" w:hAnsi="Barlow" w:eastAsia="Barlow" w:cs="Barlow"/>
          <w:b/>
          <w:bCs/>
          <w:sz w:val="32"/>
          <w:szCs w:val="32"/>
          <w:u w:val="single"/>
        </w:rPr>
      </w:r>
    </w:p>
    <w:p>
      <w:pPr>
        <w:pStyle w:val="891"/>
        <w:pBdr/>
        <w:spacing/>
        <w:ind/>
        <w:jc w:val="center"/>
        <w:rPr>
          <w:rFonts w:ascii="Barlow" w:hAnsi="Barlow" w:eastAsia="Barlow" w:cs="Barlow"/>
          <w:b/>
          <w:bCs/>
          <w:sz w:val="32"/>
          <w:szCs w:val="32"/>
          <w:u w:val="single"/>
        </w:rPr>
      </w:pPr>
      <w:r>
        <w:rPr>
          <w:rFonts w:ascii="Barlow" w:hAnsi="Barlow" w:eastAsia="Barlow" w:cs="Barlow"/>
          <w:b/>
          <w:bCs/>
          <w:sz w:val="32"/>
          <w:szCs w:val="32"/>
          <w:u w:val="single"/>
        </w:rPr>
      </w:r>
      <w:r>
        <w:rPr>
          <w:rFonts w:ascii="Barlow" w:hAnsi="Barlow" w:eastAsia="Barlow" w:cs="Barlow"/>
          <w:b/>
          <w:bCs/>
          <w:sz w:val="32"/>
          <w:szCs w:val="32"/>
          <w:u w:val="single"/>
        </w:rPr>
      </w:r>
    </w:p>
    <w:p>
      <w:pPr>
        <w:pStyle w:val="891"/>
        <w:pBdr/>
        <w:spacing/>
        <w:ind/>
        <w:jc w:val="center"/>
        <w:rPr>
          <w:rFonts w:ascii="Barlow" w:hAnsi="Barlow" w:eastAsia="Barlow" w:cs="Barlow"/>
          <w:b/>
          <w:bCs/>
          <w:sz w:val="32"/>
          <w:szCs w:val="32"/>
          <w:u w:val="single"/>
        </w:rPr>
      </w:pPr>
      <w:r/>
      <w:bookmarkStart w:id="0" w:name="_Toc172206431"/>
      <w:r/>
      <w:bookmarkStart w:id="1" w:name="_Toc177566450"/>
      <w:r>
        <w:rPr>
          <w:rFonts w:ascii="Barlow" w:hAnsi="Barlow" w:eastAsia="Barlow" w:cs="Barlow"/>
          <w:b/>
          <w:bCs/>
          <w:sz w:val="32"/>
          <w:szCs w:val="32"/>
          <w:u w:val="single"/>
        </w:rPr>
        <w:t xml:space="preserve">rajouter</w:t>
      </w:r>
      <w:r>
        <w:rPr>
          <w:rFonts w:ascii="Barlow" w:hAnsi="Barlow" w:eastAsia="Barlow" w:cs="Barlow"/>
          <w:b/>
          <w:bCs/>
          <w:sz w:val="32"/>
          <w:szCs w:val="32"/>
          <w:u w:val="single"/>
        </w:rPr>
        <w:t xml:space="preserve"> le crédit Véronique </w:t>
      </w:r>
      <w:r>
        <w:rPr>
          <w:rFonts w:ascii="Barlow" w:hAnsi="Barlow" w:eastAsia="Barlow" w:cs="Barlow"/>
          <w:b/>
          <w:bCs/>
          <w:sz w:val="32"/>
          <w:szCs w:val="32"/>
          <w:u w:val="single"/>
        </w:rPr>
        <w:t xml:space="preserve">Vernette</w:t>
      </w:r>
      <w:bookmarkEnd w:id="0"/>
      <w:r/>
      <w:bookmarkEnd w:id="1"/>
      <w:r/>
      <w:r>
        <w:rPr>
          <w:rFonts w:ascii="Barlow" w:hAnsi="Barlow" w:eastAsia="Barlow" w:cs="Barlow"/>
          <w:b/>
          <w:bCs/>
          <w:sz w:val="32"/>
          <w:szCs w:val="32"/>
          <w:u w:val="single"/>
        </w:rPr>
      </w:r>
    </w:p>
    <w:p>
      <w:pPr>
        <w:pStyle w:val="891"/>
        <w:pBdr/>
        <w:spacing/>
        <w:ind/>
        <w:jc w:val="center"/>
        <w:rPr>
          <w:rFonts w:ascii="Barlow" w:hAnsi="Barlow" w:eastAsia="Barlow" w:cs="Barlow"/>
          <w:b/>
          <w:bCs/>
          <w:u w:val="single"/>
        </w:rPr>
      </w:pPr>
      <w:r/>
      <w:bookmarkStart w:id="2" w:name="_Toc177566451"/>
      <w:r>
        <w:rPr>
          <w:rFonts w:ascii="Barlow" w:hAnsi="Barlow" w:eastAsia="Barlow" w:cs="Barlow"/>
          <w:b/>
          <w:bCs/>
          <w:u w:val="single"/>
        </w:rPr>
        <w:t xml:space="preserve">LIVRET ETUDIANT</w:t>
      </w:r>
      <w:bookmarkEnd w:id="2"/>
      <w:r/>
      <w:r>
        <w:rPr>
          <w:rFonts w:ascii="Barlow" w:hAnsi="Barlow" w:eastAsia="Barlow" w:cs="Barlow"/>
          <w:b/>
          <w:bCs/>
          <w:u w:val="single"/>
        </w:rPr>
      </w:r>
    </w:p>
    <w:p>
      <w:pPr>
        <w:pStyle w:val="891"/>
        <w:pBdr/>
        <w:spacing/>
        <w:ind/>
        <w:jc w:val="center"/>
        <w:rPr>
          <w:rFonts w:ascii="Barlow" w:hAnsi="Barlow" w:eastAsia="Barlow" w:cs="Barlow"/>
          <w:b/>
          <w:bCs/>
          <w:sz w:val="32"/>
          <w:szCs w:val="32"/>
          <w:u w:val="single"/>
        </w:rPr>
      </w:pPr>
      <w:r>
        <w:rPr>
          <w:rFonts w:ascii="Barlow" w:hAnsi="Barlow" w:eastAsia="Barlow" w:cs="Barlow"/>
          <w:b/>
          <w:bCs/>
          <w:sz w:val="32"/>
          <w:szCs w:val="32"/>
          <w:u w:val="single"/>
        </w:rPr>
      </w:r>
      <w:r>
        <w:rPr>
          <w:rFonts w:ascii="Barlow" w:hAnsi="Barlow" w:eastAsia="Barlow" w:cs="Barlow"/>
          <w:b/>
          <w:bCs/>
          <w:sz w:val="32"/>
          <w:szCs w:val="32"/>
          <w:u w:val="single"/>
        </w:rPr>
      </w:r>
    </w:p>
    <w:p>
      <w:pPr>
        <w:pStyle w:val="891"/>
        <w:pBdr/>
        <w:spacing/>
        <w:ind/>
        <w:jc w:val="center"/>
        <w:rPr>
          <w:rFonts w:ascii="Barlow" w:hAnsi="Barlow" w:eastAsia="Barlow" w:cs="Barlow"/>
          <w:b/>
          <w:bCs/>
          <w:sz w:val="32"/>
          <w:szCs w:val="32"/>
          <w:u w:val="single"/>
        </w:rPr>
      </w:pPr>
      <w:r/>
      <w:bookmarkStart w:id="3" w:name="_Toc171958115"/>
      <w:r/>
      <w:bookmarkStart w:id="4" w:name="_Toc171958407"/>
      <w:r/>
      <w:bookmarkStart w:id="5" w:name="_Toc171958940"/>
      <w:r/>
      <w:bookmarkStart w:id="6" w:name="_Toc171975388"/>
      <w:r/>
      <w:bookmarkStart w:id="7" w:name="_Toc171975481"/>
      <w:r/>
      <w:bookmarkStart w:id="8" w:name="_Toc172107987"/>
      <w:r/>
      <w:bookmarkStart w:id="9" w:name="_Toc172206433"/>
      <w:r/>
      <w:bookmarkStart w:id="10" w:name="_Toc177566452"/>
      <w:r/>
      <w:bookmarkStart w:id="11" w:name="_Toc171952970"/>
      <w:r>
        <w:rPr>
          <w:rFonts w:ascii="Barlow" w:hAnsi="Barlow" w:eastAsia="Barlow" w:cs="Barlow"/>
          <w:b/>
          <w:bCs/>
          <w:sz w:val="32"/>
          <w:szCs w:val="32"/>
          <w:u w:val="single"/>
        </w:rPr>
        <w:t xml:space="preserve">Diplôme universitaire</w:t>
      </w:r>
      <w:bookmarkEnd w:id="3"/>
      <w:r/>
      <w:bookmarkEnd w:id="4"/>
      <w:r/>
      <w:bookmarkEnd w:id="5"/>
      <w:r/>
      <w:bookmarkEnd w:id="6"/>
      <w:r/>
      <w:bookmarkEnd w:id="7"/>
      <w:r/>
      <w:bookmarkEnd w:id="8"/>
      <w:r/>
      <w:bookmarkEnd w:id="9"/>
      <w:r/>
      <w:bookmarkEnd w:id="10"/>
      <w:r>
        <w:rPr>
          <w:rFonts w:ascii="Barlow" w:hAnsi="Barlow" w:eastAsia="Barlow" w:cs="Barlow"/>
          <w:b/>
          <w:bCs/>
          <w:sz w:val="32"/>
          <w:szCs w:val="32"/>
          <w:u w:val="single"/>
        </w:rPr>
        <w:t xml:space="preserve"> </w:t>
      </w:r>
      <w:bookmarkEnd w:id="11"/>
      <w:r/>
      <w:r>
        <w:rPr>
          <w:rFonts w:ascii="Barlow" w:hAnsi="Barlow" w:eastAsia="Barlow" w:cs="Barlow"/>
          <w:b/>
          <w:bCs/>
          <w:sz w:val="32"/>
          <w:szCs w:val="32"/>
          <w:u w:val="single"/>
        </w:rPr>
      </w:r>
    </w:p>
    <w:p>
      <w:pPr>
        <w:pStyle w:val="891"/>
        <w:pBdr/>
        <w:spacing/>
        <w:ind/>
        <w:jc w:val="center"/>
        <w:rPr>
          <w:rFonts w:ascii="Barlow" w:hAnsi="Barlow" w:cs="Barlow"/>
          <w:b/>
          <w:bCs/>
          <w:sz w:val="32"/>
          <w:szCs w:val="32"/>
          <w:u w:val="single"/>
        </w:rPr>
      </w:pPr>
      <w:r/>
      <w:bookmarkStart w:id="12" w:name="_Toc171958116"/>
      <w:r/>
      <w:bookmarkStart w:id="13" w:name="_Toc171958408"/>
      <w:r/>
      <w:bookmarkStart w:id="14" w:name="_Toc171958941"/>
      <w:r/>
      <w:bookmarkStart w:id="15" w:name="_Toc171975389"/>
      <w:r/>
      <w:bookmarkStart w:id="16" w:name="_Toc171975482"/>
      <w:r/>
      <w:bookmarkStart w:id="17" w:name="_Toc172107988"/>
      <w:r/>
      <w:bookmarkStart w:id="18" w:name="_Toc172206434"/>
      <w:r/>
      <w:bookmarkStart w:id="19" w:name="_Toc177566453"/>
      <w:r>
        <w:rPr>
          <w:rFonts w:ascii="Barlow" w:hAnsi="Barlow" w:eastAsia="Barlow" w:cs="Barlow"/>
          <w:b/>
          <w:bCs/>
          <w:u w:val="single"/>
        </w:rPr>
        <w:t xml:space="preserve">Arts pour le jeune public</w:t>
      </w:r>
      <w:r>
        <w:rPr>
          <w:rFonts w:ascii="Barlow" w:hAnsi="Barlow" w:eastAsia="Barlow" w:cs="Barlow"/>
          <w:b/>
          <w:bCs/>
          <w:sz w:val="32"/>
          <w:szCs w:val="32"/>
          <w:u w:val="single"/>
        </w:rPr>
        <w:t xml:space="preserve">  </w:t>
      </w:r>
      <w:r>
        <w:rPr>
          <w:rFonts w:ascii="Barlow" w:hAnsi="Barlow" w:eastAsia="Barlow" w:cs="Barlow"/>
          <w:b/>
          <w:bCs/>
          <w:sz w:val="32"/>
          <w:szCs w:val="32"/>
          <w:u w:val="single"/>
        </w:rPr>
        <w:br/>
      </w:r>
      <w:r>
        <w:rPr>
          <w:rFonts w:ascii="Barlow" w:hAnsi="Barlow" w:eastAsia="Barlow" w:cs="Barlow"/>
          <w:b/>
          <w:bCs/>
          <w:sz w:val="32"/>
          <w:szCs w:val="32"/>
          <w:u w:val="single"/>
        </w:rPr>
        <w:t xml:space="preserve">œuvres, enjeux et perspectives</w:t>
      </w:r>
      <w:bookmarkEnd w:id="12"/>
      <w:r/>
      <w:bookmarkEnd w:id="13"/>
      <w:r/>
      <w:bookmarkEnd w:id="14"/>
      <w:r/>
      <w:bookmarkEnd w:id="15"/>
      <w:r/>
      <w:bookmarkEnd w:id="16"/>
      <w:r/>
      <w:bookmarkEnd w:id="17"/>
      <w:r/>
      <w:bookmarkEnd w:id="18"/>
      <w:r/>
      <w:bookmarkEnd w:id="19"/>
      <w:r/>
      <w:r>
        <w:rPr>
          <w:rFonts w:ascii="Barlow" w:hAnsi="Barlow" w:cs="Barlow"/>
          <w:b/>
          <w:bCs/>
          <w:sz w:val="32"/>
          <w:szCs w:val="32"/>
          <w:u w:val="single"/>
        </w:rPr>
      </w:r>
    </w:p>
    <w:p>
      <w:pPr>
        <w:pBdr/>
        <w:spacing/>
        <w:ind/>
        <w:rPr/>
      </w:pPr>
      <w:r/>
      <w:r/>
    </w:p>
    <w:p>
      <w:pPr>
        <w:pBdr/>
        <w:spacing/>
        <w:ind/>
        <w:rPr/>
      </w:pPr>
      <w:r/>
      <w:r/>
    </w:p>
    <w:p>
      <w:pPr>
        <w:pBdr/>
        <w:spacing/>
        <w:ind/>
        <w:rPr/>
      </w:pPr>
      <w:r/>
      <w:r/>
    </w:p>
    <w:p>
      <w:pPr>
        <w:pBdr/>
        <w:spacing/>
        <w:ind/>
        <w:jc w:val="center"/>
        <w:rPr/>
      </w:pPr>
      <w:r>
        <w:t xml:space="preserve">204/2025</w:t>
      </w:r>
      <w:r/>
    </w:p>
    <w:p>
      <w:pPr>
        <w:pBdr/>
        <w:spacing/>
        <w:ind/>
        <w:rPr>
          <w:b/>
          <w:bCs/>
          <w:u w:val="single"/>
        </w:rPr>
      </w:pPr>
      <w:r>
        <w:br w:type="page" w:clear="all"/>
      </w:r>
      <w:r>
        <w:rPr>
          <w:b/>
          <w:bCs/>
          <w:u w:val="single"/>
        </w:rPr>
      </w:r>
    </w:p>
    <w:sdt>
      <w:sdtPr>
        <w15:appearance w15:val="boundingBox"/>
        <w:id w:val="-622232967"/>
        <w:docPartObj>
          <w:docPartGallery w:val="Table of Contents"/>
          <w:docPartUnique w:val="true"/>
        </w:docPartObj>
        <w:rPr/>
      </w:sdtPr>
      <w:sdtContent>
        <w:p>
          <w:pPr>
            <w:pStyle w:val="1096"/>
            <w:pBdr/>
            <w:tabs>
              <w:tab w:val="right" w:leader="dot" w:pos="9203"/>
            </w:tabs>
            <w:spacing/>
            <w:ind/>
            <w:rPr>
              <w:rFonts w:asciiTheme="minorHAnsi" w:hAnsiTheme="minorHAnsi" w:eastAsiaTheme="minorEastAsia" w:cstheme="minorBidi"/>
              <w:lang w:eastAsia="fr-FR"/>
            </w:rPr>
          </w:pPr>
          <w:r>
            <w:fldChar w:fldCharType="begin"/>
          </w:r>
          <w:r>
            <w:instrText xml:space="preserve"> TOC \o "1-3" \h \z \u </w:instrText>
          </w:r>
          <w:r>
            <w:fldChar w:fldCharType="separate"/>
          </w:r>
          <w:r>
            <w:t xml:space="preserve">LIVRET ÉTUDIANT</w:t>
          </w:r>
          <w:r>
            <w:rPr>
              <w:rFonts w:asciiTheme="minorHAnsi" w:hAnsiTheme="minorHAnsi" w:eastAsiaTheme="minorEastAsia" w:cstheme="minorBidi"/>
              <w:lang w:eastAsia="fr-FR"/>
            </w:rPr>
          </w:r>
        </w:p>
        <w:p>
          <w:pPr>
            <w:pStyle w:val="1097"/>
            <w:pBdr/>
            <w:tabs>
              <w:tab w:val="right" w:leader="dot" w:pos="9203"/>
            </w:tabs>
            <w:spacing/>
            <w:ind/>
            <w:rPr>
              <w:rFonts w:asciiTheme="minorHAnsi" w:hAnsiTheme="minorHAnsi" w:eastAsiaTheme="minorEastAsia" w:cstheme="minorBidi"/>
              <w:lang w:eastAsia="fr-FR"/>
            </w:rPr>
          </w:pPr>
          <w:r/>
          <w:hyperlink w:tooltip="#_Toc177566454" w:anchor="_Toc177566454" w:history="1">
            <w:r>
              <w:rPr>
                <w:rStyle w:val="1085"/>
              </w:rPr>
              <w:t xml:space="preserve">Présentation générale</w:t>
            </w:r>
            <w:r>
              <w:tab/>
            </w:r>
            <w:r>
              <w:fldChar w:fldCharType="begin"/>
            </w:r>
            <w:r>
              <w:instrText xml:space="preserve"> PAGEREF _Toc177566454 \h </w:instrText>
            </w:r>
            <w:r>
              <w:fldChar w:fldCharType="separate"/>
            </w:r>
            <w:r>
              <w:t xml:space="preserve">2</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55" w:anchor="_Toc177566455" w:history="1">
            <w:r>
              <w:rPr>
                <w:rStyle w:val="1085"/>
              </w:rPr>
              <w:t xml:space="preserve">Objectifs</w:t>
            </w:r>
            <w:r>
              <w:tab/>
            </w:r>
            <w:r>
              <w:fldChar w:fldCharType="begin"/>
            </w:r>
            <w:r>
              <w:instrText xml:space="preserve"> PAGEREF _Toc177566455 \h </w:instrText>
            </w:r>
            <w:r>
              <w:fldChar w:fldCharType="separate"/>
            </w:r>
            <w:r>
              <w:t xml:space="preserve">2</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56" w:anchor="_Toc177566456" w:history="1">
            <w:r>
              <w:rPr>
                <w:rStyle w:val="1085"/>
              </w:rPr>
              <w:t xml:space="preserve">Admission</w:t>
            </w:r>
            <w:r>
              <w:tab/>
            </w:r>
            <w:r>
              <w:fldChar w:fldCharType="begin"/>
            </w:r>
            <w:r>
              <w:instrText xml:space="preserve"> PAGEREF _Toc177566456 \h </w:instrText>
            </w:r>
            <w:r>
              <w:fldChar w:fldCharType="separate"/>
            </w:r>
            <w:r>
              <w:t xml:space="preserve">2</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57" w:anchor="_Toc177566457" w:history="1">
            <w:r>
              <w:rPr>
                <w:rStyle w:val="1085"/>
              </w:rPr>
              <w:t xml:space="preserve">Tarifs</w:t>
            </w:r>
            <w:r>
              <w:tab/>
            </w:r>
            <w:r>
              <w:fldChar w:fldCharType="begin"/>
            </w:r>
            <w:r>
              <w:instrText xml:space="preserve"> PAGEREF _Toc177566457 \h </w:instrText>
            </w:r>
            <w:r>
              <w:fldChar w:fldCharType="separate"/>
            </w:r>
            <w:r>
              <w:t xml:space="preserve">2</w:t>
            </w:r>
            <w:r>
              <w:fldChar w:fldCharType="end"/>
            </w:r>
          </w:hyperlink>
          <w:r/>
          <w:r>
            <w:rPr>
              <w:rFonts w:asciiTheme="minorHAnsi" w:hAnsiTheme="minorHAnsi" w:eastAsiaTheme="minorEastAsia" w:cstheme="minorBidi"/>
              <w:lang w:eastAsia="fr-FR"/>
            </w:rPr>
          </w:r>
        </w:p>
        <w:p>
          <w:pPr>
            <w:pStyle w:val="1097"/>
            <w:pBdr/>
            <w:tabs>
              <w:tab w:val="right" w:leader="dot" w:pos="9203"/>
            </w:tabs>
            <w:spacing/>
            <w:ind/>
            <w:rPr>
              <w:rFonts w:asciiTheme="minorHAnsi" w:hAnsiTheme="minorHAnsi" w:eastAsiaTheme="minorEastAsia" w:cstheme="minorBidi"/>
              <w:lang w:eastAsia="fr-FR"/>
            </w:rPr>
          </w:pPr>
          <w:r/>
          <w:hyperlink w:tooltip="#_Toc177566458" w:anchor="_Toc177566458" w:history="1">
            <w:r>
              <w:rPr>
                <w:rStyle w:val="1085"/>
              </w:rPr>
              <w:t xml:space="preserve">Maquette des cours</w:t>
            </w:r>
            <w:r>
              <w:tab/>
            </w:r>
            <w:r>
              <w:fldChar w:fldCharType="begin"/>
            </w:r>
            <w:r>
              <w:instrText xml:space="preserve"> PAGEREF _Toc177566458 \h </w:instrText>
            </w:r>
            <w:r>
              <w:fldChar w:fldCharType="separate"/>
            </w:r>
            <w:r>
              <w:t xml:space="preserve">3</w:t>
            </w:r>
            <w:r>
              <w:fldChar w:fldCharType="end"/>
            </w:r>
          </w:hyperlink>
          <w:r/>
          <w:r>
            <w:rPr>
              <w:rFonts w:asciiTheme="minorHAnsi" w:hAnsiTheme="minorHAnsi" w:eastAsiaTheme="minorEastAsia" w:cstheme="minorBidi"/>
              <w:lang w:eastAsia="fr-FR"/>
            </w:rPr>
          </w:r>
        </w:p>
        <w:p>
          <w:pPr>
            <w:pStyle w:val="1097"/>
            <w:pBdr/>
            <w:tabs>
              <w:tab w:val="right" w:leader="dot" w:pos="9203"/>
            </w:tabs>
            <w:spacing/>
            <w:ind/>
            <w:rPr>
              <w:rFonts w:asciiTheme="minorHAnsi" w:hAnsiTheme="minorHAnsi" w:eastAsiaTheme="minorEastAsia" w:cstheme="minorBidi"/>
              <w:lang w:eastAsia="fr-FR"/>
            </w:rPr>
          </w:pPr>
          <w:r/>
          <w:hyperlink w:tooltip="#_Toc177566459" w:anchor="_Toc177566459" w:history="1">
            <w:r>
              <w:rPr>
                <w:rStyle w:val="1085"/>
              </w:rPr>
              <w:t xml:space="preserve">Descriptifs des cours</w:t>
            </w:r>
            <w:r>
              <w:tab/>
            </w:r>
            <w:r>
              <w:fldChar w:fldCharType="begin"/>
            </w:r>
            <w:r>
              <w:instrText xml:space="preserve"> PAGEREF _Toc177566459 \h </w:instrText>
            </w:r>
            <w:r>
              <w:fldChar w:fldCharType="separate"/>
            </w:r>
            <w:r>
              <w:t xml:space="preserve">5</w:t>
            </w:r>
            <w:r>
              <w:fldChar w:fldCharType="end"/>
            </w:r>
          </w:hyperlink>
          <w:r/>
          <w:r>
            <w:rPr>
              <w:rFonts w:asciiTheme="minorHAnsi" w:hAnsiTheme="minorHAnsi" w:eastAsiaTheme="minorEastAsia" w:cstheme="minorBidi"/>
              <w:lang w:eastAsia="fr-FR"/>
            </w:rPr>
          </w:r>
        </w:p>
        <w:p>
          <w:pPr>
            <w:pStyle w:val="1097"/>
            <w:pBdr/>
            <w:tabs>
              <w:tab w:val="right" w:leader="dot" w:pos="9203"/>
            </w:tabs>
            <w:spacing/>
            <w:ind/>
            <w:rPr>
              <w:rFonts w:asciiTheme="minorHAnsi" w:hAnsiTheme="minorHAnsi" w:eastAsiaTheme="minorEastAsia" w:cstheme="minorBidi"/>
              <w:lang w:eastAsia="fr-FR"/>
            </w:rPr>
          </w:pPr>
          <w:r/>
          <w:hyperlink w:tooltip="#_Toc177566460" w:anchor="_Toc177566460" w:history="1">
            <w:r>
              <w:rPr>
                <w:rStyle w:val="1085"/>
              </w:rPr>
              <w:t xml:space="preserve">MODULE TRANSVERSAL : ART ET ENFANCE</w:t>
            </w:r>
            <w:r>
              <w:tab/>
            </w:r>
            <w:r>
              <w:fldChar w:fldCharType="begin"/>
            </w:r>
            <w:r>
              <w:instrText xml:space="preserve"> PAGEREF _Toc1775664</w:instrText>
            </w:r>
            <w:r>
              <w:instrText xml:space="preserve">60 \h </w:instrText>
            </w:r>
            <w:r>
              <w:fldChar w:fldCharType="separate"/>
            </w:r>
            <w:r>
              <w:t xml:space="preserve">5</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61" w:anchor="_Toc177566461" w:history="1">
            <w:r>
              <w:rPr>
                <w:rStyle w:val="1085"/>
              </w:rPr>
              <w:t xml:space="preserve">1.1. Art et enfance : regard historique et épistémologique</w:t>
            </w:r>
            <w:r>
              <w:tab/>
            </w:r>
            <w:r>
              <w:fldChar w:fldCharType="begin"/>
            </w:r>
            <w:r>
              <w:instrText xml:space="preserve"> PAGEREF _Toc177566461 \h </w:instrText>
            </w:r>
            <w:r>
              <w:fldChar w:fldCharType="separate"/>
            </w:r>
            <w:r>
              <w:t xml:space="preserve">5</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62" w:anchor="_Toc177566462" w:history="1">
            <w:r>
              <w:rPr>
                <w:rStyle w:val="1085"/>
              </w:rPr>
              <w:t xml:space="preserve">1.2. Interculturalité et </w:t>
            </w:r>
            <w:r>
              <w:rPr>
                <w:rStyle w:val="1085"/>
                <w:spacing w:val="-2"/>
              </w:rPr>
              <w:t xml:space="preserve">inclusion</w:t>
            </w:r>
            <w:r>
              <w:tab/>
            </w:r>
            <w:r>
              <w:fldChar w:fldCharType="begin"/>
            </w:r>
            <w:r>
              <w:instrText xml:space="preserve"> PAGEREF _Toc177566462 \h </w:instrText>
            </w:r>
            <w:r>
              <w:fldChar w:fldCharType="separate"/>
            </w:r>
            <w:r>
              <w:t xml:space="preserve">6</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63" w:anchor="_Toc177566463" w:history="1">
            <w:r>
              <w:rPr>
                <w:rStyle w:val="1085"/>
              </w:rPr>
              <w:t xml:space="preserve">1.3. Connaissance des publics</w:t>
            </w:r>
            <w:r>
              <w:tab/>
            </w:r>
            <w:r>
              <w:fldChar w:fldCharType="begin"/>
            </w:r>
            <w:r>
              <w:instrText xml:space="preserve"> PAGEREF _Toc177566463 \h </w:instrText>
            </w:r>
            <w:r>
              <w:fldChar w:fldCharType="separate"/>
            </w:r>
            <w:r>
              <w:t xml:space="preserve">7</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64" w:anchor="_Toc177566464" w:history="1">
            <w:r>
              <w:rPr>
                <w:rStyle w:val="1085"/>
              </w:rPr>
              <w:t xml:space="preserve">1.4. Enjeux et objectifs de l'Éducation Artistique et Culturelle</w:t>
            </w:r>
            <w:r>
              <w:tab/>
            </w:r>
            <w:r>
              <w:fldChar w:fldCharType="begin"/>
            </w:r>
            <w:r>
              <w:instrText xml:space="preserve"> PAGEREF _Toc177566464 \h </w:instrText>
            </w:r>
            <w:r>
              <w:fldChar w:fldCharType="separate"/>
            </w:r>
            <w:r>
              <w:t xml:space="preserve">8</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65" w:anchor="_Toc177566465" w:history="1">
            <w:r>
              <w:rPr>
                <w:rStyle w:val="1085"/>
              </w:rPr>
              <w:t xml:space="preserve">1.5. Politiques publiques éducatives</w:t>
            </w:r>
            <w:r>
              <w:tab/>
            </w:r>
            <w:r>
              <w:fldChar w:fldCharType="begin"/>
            </w:r>
            <w:r>
              <w:instrText xml:space="preserve"> PAGEREF _Toc177566465 \h </w:instrText>
            </w:r>
            <w:r>
              <w:fldChar w:fldCharType="separate"/>
            </w:r>
            <w:r>
              <w:t xml:space="preserve">8</w:t>
            </w:r>
            <w:r>
              <w:fldChar w:fldCharType="end"/>
            </w:r>
          </w:hyperlink>
          <w:r/>
          <w:r>
            <w:rPr>
              <w:rFonts w:asciiTheme="minorHAnsi" w:hAnsiTheme="minorHAnsi" w:eastAsiaTheme="minorEastAsia" w:cstheme="minorBidi"/>
              <w:lang w:eastAsia="fr-FR"/>
            </w:rPr>
          </w:r>
        </w:p>
        <w:p>
          <w:pPr>
            <w:pStyle w:val="1097"/>
            <w:pBdr/>
            <w:tabs>
              <w:tab w:val="right" w:leader="dot" w:pos="9203"/>
            </w:tabs>
            <w:spacing/>
            <w:ind/>
            <w:rPr>
              <w:rFonts w:asciiTheme="minorHAnsi" w:hAnsiTheme="minorHAnsi" w:eastAsiaTheme="minorEastAsia" w:cstheme="minorBidi"/>
              <w:lang w:eastAsia="fr-FR"/>
            </w:rPr>
          </w:pPr>
          <w:r/>
          <w:hyperlink w:tooltip="#_Toc177566466" w:anchor="_Toc177566466" w:history="1">
            <w:r>
              <w:rPr>
                <w:rStyle w:val="1085"/>
              </w:rPr>
              <w:t xml:space="preserve">MODULE PRATIQUE : TERRAINS ET CRÉATION</w:t>
            </w:r>
            <w:r>
              <w:tab/>
            </w:r>
            <w:r>
              <w:fldChar w:fldCharType="begin"/>
            </w:r>
            <w:r>
              <w:instrText xml:space="preserve"> PAGEREF _Toc177566466 \h </w:instrText>
            </w:r>
            <w:r>
              <w:fldChar w:fldCharType="separate"/>
            </w:r>
            <w:r>
              <w:t xml:space="preserve">9</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67" w:anchor="_Toc177566467" w:history="1">
            <w:r>
              <w:rPr>
                <w:rStyle w:val="1085"/>
              </w:rPr>
              <w:t xml:space="preserve">2.1. Journée d’intégration dans des institutions culturelles du territoire sur la thématique du jeune public</w:t>
            </w:r>
            <w:r>
              <w:tab/>
            </w:r>
            <w:r>
              <w:fldChar w:fldCharType="begin"/>
            </w:r>
            <w:r>
              <w:instrText xml:space="preserve"> PAGEREF _Toc177566467 \h </w:instrText>
            </w:r>
            <w:r>
              <w:fldChar w:fldCharType="separate"/>
            </w:r>
            <w:r>
              <w:t xml:space="preserve">9</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68" w:anchor="_Toc177566468" w:history="1">
            <w:r>
              <w:rPr>
                <w:rStyle w:val="1085"/>
              </w:rPr>
              <w:t xml:space="preserve">2.2. Temps d’immersion à l’École de l’oralité</w:t>
            </w:r>
            <w:r>
              <w:tab/>
            </w:r>
            <w:r>
              <w:fldChar w:fldCharType="begin"/>
            </w:r>
            <w:r>
              <w:instrText xml:space="preserve"> PAGEREF _Toc177566468 \h </w:instrText>
            </w:r>
            <w:r>
              <w:fldChar w:fldCharType="separate"/>
            </w:r>
            <w:r>
              <w:t xml:space="preserve">9</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69" w:anchor="_Toc177566469" w:history="1">
            <w:r>
              <w:rPr>
                <w:rStyle w:val="1085"/>
              </w:rPr>
              <w:t xml:space="preserve">2.3. Atelier collectif de création</w:t>
            </w:r>
            <w:r>
              <w:tab/>
            </w:r>
            <w:r>
              <w:fldChar w:fldCharType="begin"/>
            </w:r>
            <w:r>
              <w:instrText xml:space="preserve"> PAGEREF _Toc177566469 \h </w:instrText>
            </w:r>
            <w:r>
              <w:fldChar w:fldCharType="separate"/>
            </w:r>
            <w:r>
              <w:t xml:space="preserve">9</w:t>
            </w:r>
            <w:r>
              <w:fldChar w:fldCharType="end"/>
            </w:r>
          </w:hyperlink>
          <w:r/>
          <w:r>
            <w:rPr>
              <w:rFonts w:asciiTheme="minorHAnsi" w:hAnsiTheme="minorHAnsi" w:eastAsiaTheme="minorEastAsia" w:cstheme="minorBidi"/>
              <w:lang w:eastAsia="fr-FR"/>
            </w:rPr>
          </w:r>
        </w:p>
        <w:p>
          <w:pPr>
            <w:pStyle w:val="1097"/>
            <w:pBdr/>
            <w:tabs>
              <w:tab w:val="right" w:leader="dot" w:pos="9203"/>
            </w:tabs>
            <w:spacing/>
            <w:ind/>
            <w:rPr>
              <w:rFonts w:asciiTheme="minorHAnsi" w:hAnsiTheme="minorHAnsi" w:eastAsiaTheme="minorEastAsia" w:cstheme="minorBidi"/>
              <w:lang w:eastAsia="fr-FR"/>
            </w:rPr>
          </w:pPr>
          <w:r/>
          <w:hyperlink w:tooltip="#_Toc177566470" w:anchor="_Toc177566470" w:history="1">
            <w:r>
              <w:rPr>
                <w:rStyle w:val="1085"/>
              </w:rPr>
              <w:t xml:space="preserve">MODULE DE SPÉC</w:t>
            </w:r>
            <w:r>
              <w:rPr>
                <w:rStyle w:val="1085"/>
              </w:rPr>
              <w:t xml:space="preserve">IALISATION</w:t>
            </w:r>
            <w:r>
              <w:tab/>
            </w:r>
            <w:r>
              <w:fldChar w:fldCharType="begin"/>
            </w:r>
            <w:r>
              <w:instrText xml:space="preserve"> PAGEREF _Toc177566470 \h </w:instrText>
            </w:r>
            <w:r>
              <w:fldChar w:fldCharType="separate"/>
            </w:r>
            <w:r>
              <w:t xml:space="preserve">10</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71" w:anchor="_Toc177566471" w:history="1">
            <w:r>
              <w:rPr>
                <w:rStyle w:val="1085"/>
              </w:rPr>
              <w:t xml:space="preserve">3.1. Édition numérique et médiation</w:t>
            </w:r>
            <w:r>
              <w:tab/>
            </w:r>
            <w:r>
              <w:fldChar w:fldCharType="begin"/>
            </w:r>
            <w:r>
              <w:instrText xml:space="preserve"> PAGEREF _Toc177566471 \h </w:instrText>
            </w:r>
            <w:r>
              <w:fldChar w:fldCharType="separate"/>
            </w:r>
            <w:r>
              <w:t xml:space="preserve">10</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72" w:anchor="_Toc177566472" w:history="1">
            <w:r>
              <w:rPr>
                <w:rStyle w:val="1085"/>
              </w:rPr>
              <w:t xml:space="preserve">3.2. Écritures musicales et sonores pour le jeune public</w:t>
            </w:r>
            <w:r>
              <w:tab/>
            </w:r>
            <w:r>
              <w:fldChar w:fldCharType="begin"/>
            </w:r>
            <w:r>
              <w:instrText xml:space="preserve"> PAGEREF _Toc177566472 \h </w:instrText>
            </w:r>
            <w:r>
              <w:fldChar w:fldCharType="separate"/>
            </w:r>
            <w:r>
              <w:t xml:space="preserve">10</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73" w:anchor="_Toc177566473" w:history="1">
            <w:r>
              <w:rPr>
                <w:rStyle w:val="1085"/>
              </w:rPr>
              <w:t xml:space="preserve">3.3. Programmation jeune public</w:t>
            </w:r>
            <w:r>
              <w:tab/>
            </w:r>
            <w:r>
              <w:fldChar w:fldCharType="begin"/>
            </w:r>
            <w:r>
              <w:instrText xml:space="preserve"> PAGEREF _Toc177566473 \h </w:instrText>
            </w:r>
            <w:r>
              <w:fldChar w:fldCharType="separate"/>
            </w:r>
            <w:r>
              <w:t xml:space="preserve">11</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74" w:anchor="_Toc177566474" w:history="1">
            <w:r>
              <w:rPr>
                <w:rStyle w:val="1085"/>
              </w:rPr>
              <w:t xml:space="preserve">3.4. Médiation artistique et culturelle : l’exemple du jeune public – musique contemporaine</w:t>
            </w:r>
            <w:r>
              <w:tab/>
            </w:r>
            <w:r>
              <w:fldChar w:fldCharType="begin"/>
            </w:r>
            <w:r>
              <w:instrText xml:space="preserve"> PAGEREF _Toc177566474 \h </w:instrText>
            </w:r>
            <w:r>
              <w:fldChar w:fldCharType="separate"/>
            </w:r>
            <w:r>
              <w:t xml:space="preserve">11</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75" w:anchor="_Toc177566475" w:history="1">
            <w:r>
              <w:rPr>
                <w:rStyle w:val="1085"/>
              </w:rPr>
              <w:t xml:space="preserve">3.5. Médiation artistique et culturelle : l’exemple du jeune public – art contemporain</w:t>
            </w:r>
            <w:r>
              <w:tab/>
            </w:r>
            <w:r>
              <w:fldChar w:fldCharType="begin"/>
            </w:r>
            <w:r>
              <w:instrText xml:space="preserve"> PAGEREF _Toc177566475 \h </w:instrText>
            </w:r>
            <w:r>
              <w:fldChar w:fldCharType="separate"/>
            </w:r>
            <w:r>
              <w:t xml:space="preserve">11</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76" w:anchor="_Toc177566476" w:history="1">
            <w:r>
              <w:rPr>
                <w:rStyle w:val="1085"/>
              </w:rPr>
              <w:t xml:space="preserve">3.6. Illustration </w:t>
            </w:r>
            <w:r>
              <w:rPr>
                <w:rStyle w:val="1085"/>
                <w:spacing w:val="-2"/>
              </w:rPr>
              <w:t xml:space="preserve">jeunesse</w:t>
            </w:r>
            <w:r>
              <w:tab/>
            </w:r>
            <w:r>
              <w:fldChar w:fldCharType="begin"/>
            </w:r>
            <w:r>
              <w:instrText xml:space="preserve"> PAGEREF _Toc177566476 \h </w:instrText>
            </w:r>
            <w:r>
              <w:fldChar w:fldCharType="separate"/>
            </w:r>
            <w:r>
              <w:t xml:space="preserve">11</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77" w:anchor="_Toc177566477" w:history="1">
            <w:r>
              <w:rPr>
                <w:rStyle w:val="1085"/>
              </w:rPr>
              <w:t xml:space="preserve">3.7. Cinéma d'animation pour la jeunesse : perspectives historiques et </w:t>
            </w:r>
            <w:r>
              <w:rPr>
                <w:rStyle w:val="1085"/>
                <w:spacing w:val="-2"/>
              </w:rPr>
              <w:t xml:space="preserve">esthétiques</w:t>
            </w:r>
            <w:r>
              <w:tab/>
            </w:r>
            <w:r>
              <w:fldChar w:fldCharType="begin"/>
            </w:r>
            <w:r>
              <w:instrText xml:space="preserve"> PAGEREF _Toc177566477 \h </w:instrText>
            </w:r>
            <w:r>
              <w:fldChar w:fldCharType="separate"/>
            </w:r>
            <w:r>
              <w:t xml:space="preserve">11</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78" w:anchor="_Toc177566478" w:history="1">
            <w:r>
              <w:rPr>
                <w:rStyle w:val="1085"/>
                <w:shd w:val="clear" w:color="auto" w:fill="ffffff"/>
              </w:rPr>
              <w:t xml:space="preserve">3.8. </w:t>
            </w:r>
            <w:r>
              <w:rPr>
                <w:rStyle w:val="1085"/>
              </w:rPr>
              <w:t xml:space="preserve">Médiation avec </w:t>
            </w:r>
            <w:r>
              <w:rPr>
                <w:rStyle w:val="1085"/>
              </w:rPr>
              <w:t xml:space="preserve">le public scolaire à la cinémathèque </w:t>
            </w:r>
            <w:r>
              <w:rPr>
                <w:rStyle w:val="1085"/>
                <w:spacing w:val="-2"/>
              </w:rPr>
              <w:t xml:space="preserve">municipale</w:t>
            </w:r>
            <w:r>
              <w:tab/>
            </w:r>
            <w:r>
              <w:fldChar w:fldCharType="begin"/>
            </w:r>
            <w:r>
              <w:instrText xml:space="preserve"> PAGEREF _Toc177566478 \h </w:instrText>
            </w:r>
            <w:r>
              <w:fldChar w:fldCharType="separate"/>
            </w:r>
            <w:r>
              <w:t xml:space="preserve">12</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79" w:anchor="_Toc177566479" w:history="1">
            <w:r>
              <w:rPr>
                <w:rStyle w:val="1085"/>
              </w:rPr>
              <w:t xml:space="preserve">3.9. Histoire du théâtre d’enfance et de jeunesse</w:t>
            </w:r>
            <w:r>
              <w:tab/>
            </w:r>
            <w:r>
              <w:fldChar w:fldCharType="begin"/>
            </w:r>
            <w:r>
              <w:instrText xml:space="preserve"> PAGEREF</w:instrText>
            </w:r>
            <w:r>
              <w:instrText xml:space="preserve"> _Toc177566479 \h </w:instrText>
            </w:r>
            <w:r>
              <w:fldChar w:fldCharType="separate"/>
            </w:r>
            <w:r>
              <w:t xml:space="preserve">12</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80" w:anchor="_Toc177566480" w:history="1">
            <w:r>
              <w:rPr>
                <w:rStyle w:val="1085"/>
              </w:rPr>
              <w:t xml:space="preserve">3.10.  Théâtre jeune public</w:t>
            </w:r>
            <w:r>
              <w:tab/>
            </w:r>
            <w:r>
              <w:fldChar w:fldCharType="begin"/>
            </w:r>
            <w:r>
              <w:instrText xml:space="preserve"> PAGEREF _Toc177566480 \h </w:instrText>
            </w:r>
            <w:r>
              <w:fldChar w:fldCharType="separate"/>
            </w:r>
            <w:r>
              <w:t xml:space="preserve">12</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81" w:anchor="_Toc177566481" w:history="1">
            <w:r>
              <w:rPr>
                <w:rStyle w:val="1085"/>
              </w:rPr>
              <w:t xml:space="preserve">3.11. Formation « Passeurs et passeuses d’art » à la Comédie</w:t>
            </w:r>
            <w:r>
              <w:tab/>
            </w:r>
            <w:r>
              <w:fldChar w:fldCharType="begin"/>
            </w:r>
            <w:r>
              <w:instrText xml:space="preserve"> PAGEREF _Toc177566481 \h </w:instrText>
            </w:r>
            <w:r>
              <w:fldChar w:fldCharType="separate"/>
            </w:r>
            <w:r>
              <w:t xml:space="preserve">13</w:t>
            </w:r>
            <w:r>
              <w:fldChar w:fldCharType="end"/>
            </w:r>
          </w:hyperlink>
          <w:r/>
          <w:r>
            <w:rPr>
              <w:rFonts w:asciiTheme="minorHAnsi" w:hAnsiTheme="minorHAnsi" w:eastAsiaTheme="minorEastAsia" w:cstheme="minorBidi"/>
              <w:lang w:eastAsia="fr-FR"/>
            </w:rPr>
          </w:r>
        </w:p>
        <w:p>
          <w:pPr>
            <w:pStyle w:val="1098"/>
            <w:pBdr/>
            <w:tabs>
              <w:tab w:val="right" w:leader="dot" w:pos="9203"/>
            </w:tabs>
            <w:spacing/>
            <w:ind/>
            <w:rPr>
              <w:rFonts w:asciiTheme="minorHAnsi" w:hAnsiTheme="minorHAnsi" w:eastAsiaTheme="minorEastAsia" w:cstheme="minorBidi"/>
              <w:lang w:eastAsia="fr-FR"/>
            </w:rPr>
          </w:pPr>
          <w:r/>
          <w:hyperlink w:tooltip="#_Toc177566482" w:anchor="_Toc177566482" w:history="1">
            <w:r>
              <w:rPr>
                <w:rStyle w:val="1085"/>
              </w:rPr>
              <w:t xml:space="preserve">3.12.</w:t>
            </w:r>
            <w:r>
              <w:rPr>
                <w:rStyle w:val="1085"/>
                <w:i/>
              </w:rPr>
              <w:t xml:space="preserve">  </w:t>
            </w:r>
            <w:r>
              <w:rPr>
                <w:rStyle w:val="1085"/>
              </w:rPr>
              <w:t xml:space="preserve">Spectacle jeune public à la Comédie de Saint-Étienne</w:t>
            </w:r>
            <w:r>
              <w:tab/>
            </w:r>
            <w:r>
              <w:fldChar w:fldCharType="begin"/>
            </w:r>
            <w:r>
              <w:instrText xml:space="preserve"> PAGEREF _Toc177566482 \h </w:instrText>
            </w:r>
            <w:r>
              <w:fldChar w:fldCharType="separate"/>
            </w:r>
            <w:r>
              <w:t xml:space="preserve">14</w:t>
            </w:r>
            <w:r>
              <w:fldChar w:fldCharType="end"/>
            </w:r>
          </w:hyperlink>
          <w:r/>
          <w:r>
            <w:rPr>
              <w:rFonts w:asciiTheme="minorHAnsi" w:hAnsiTheme="minorHAnsi" w:eastAsiaTheme="minorEastAsia" w:cstheme="minorBidi"/>
              <w:lang w:eastAsia="fr-FR"/>
            </w:rPr>
          </w:r>
        </w:p>
        <w:p>
          <w:pPr>
            <w:pStyle w:val="1097"/>
            <w:pBdr/>
            <w:tabs>
              <w:tab w:val="right" w:leader="dot" w:pos="9203"/>
            </w:tabs>
            <w:spacing/>
            <w:ind/>
            <w:rPr>
              <w:rFonts w:asciiTheme="minorHAnsi" w:hAnsiTheme="minorHAnsi" w:eastAsiaTheme="minorEastAsia" w:cstheme="minorBidi"/>
              <w:lang w:eastAsia="fr-FR"/>
            </w:rPr>
          </w:pPr>
          <w:r/>
          <w:hyperlink w:tooltip="#_Toc177566483" w:anchor="_Toc177566483" w:history="1">
            <w:r>
              <w:rPr>
                <w:rStyle w:val="1085"/>
              </w:rPr>
              <w:t xml:space="preserve">Biographies des intervenant.es</w:t>
            </w:r>
            <w:r>
              <w:tab/>
            </w:r>
            <w:r>
              <w:fldChar w:fldCharType="begin"/>
            </w:r>
            <w:r>
              <w:instrText xml:space="preserve"> PAGEREF _Toc177566483 \h </w:instrText>
            </w:r>
            <w:r>
              <w:fldChar w:fldCharType="separate"/>
            </w:r>
            <w:r>
              <w:t xml:space="preserve">15</w:t>
            </w:r>
            <w:r>
              <w:fldChar w:fldCharType="end"/>
            </w:r>
          </w:hyperlink>
          <w:r/>
          <w:r>
            <w:rPr>
              <w:rFonts w:asciiTheme="minorHAnsi" w:hAnsiTheme="minorHAnsi" w:eastAsiaTheme="minorEastAsia" w:cstheme="minorBidi"/>
              <w:lang w:eastAsia="fr-FR"/>
            </w:rPr>
          </w:r>
        </w:p>
        <w:p>
          <w:pPr>
            <w:pStyle w:val="1097"/>
            <w:pBdr/>
            <w:tabs>
              <w:tab w:val="right" w:leader="dot" w:pos="9203"/>
            </w:tabs>
            <w:spacing/>
            <w:ind/>
            <w:rPr>
              <w:rFonts w:asciiTheme="minorHAnsi" w:hAnsiTheme="minorHAnsi" w:eastAsiaTheme="minorEastAsia" w:cstheme="minorBidi"/>
              <w:lang w:eastAsia="fr-FR"/>
            </w:rPr>
          </w:pPr>
          <w:r/>
          <w:hyperlink w:tooltip="#_Toc177566484" w:anchor="_Toc177566484" w:history="1">
            <w:r>
              <w:rPr>
                <w:rStyle w:val="1085"/>
              </w:rPr>
              <w:t xml:space="preserve">Info</w:t>
            </w:r>
            <w:r>
              <w:rPr>
                <w:rStyle w:val="1085"/>
              </w:rPr>
              <w:t xml:space="preserve">rmations pratiques (calendrier, contacts, adresses)</w:t>
            </w:r>
            <w:r>
              <w:tab/>
            </w:r>
            <w:r>
              <w:fldChar w:fldCharType="begin"/>
            </w:r>
            <w:r>
              <w:instrText xml:space="preserve"> PAGEREF _Toc177566484 \h </w:instrText>
            </w:r>
            <w:r>
              <w:fldChar w:fldCharType="separate"/>
            </w:r>
            <w:r>
              <w:t xml:space="preserve">23</w:t>
            </w:r>
            <w:r>
              <w:fldChar w:fldCharType="end"/>
            </w:r>
          </w:hyperlink>
          <w:r/>
          <w:r>
            <w:rPr>
              <w:rFonts w:asciiTheme="minorHAnsi" w:hAnsiTheme="minorHAnsi" w:eastAsiaTheme="minorEastAsia" w:cstheme="minorBidi"/>
              <w:lang w:eastAsia="fr-FR"/>
            </w:rPr>
          </w:r>
        </w:p>
        <w:p>
          <w:pPr>
            <w:pBdr/>
            <w:spacing/>
            <w:ind/>
            <w:rPr>
              <w:bCs/>
              <w:i/>
              <w:highlight w:val="yellow"/>
            </w:rPr>
          </w:pPr>
          <w:r>
            <w:fldChar w:fldCharType="end"/>
          </w:r>
          <w:r>
            <w:rPr>
              <w:bCs/>
              <w:i/>
              <w:highlight w:val="yellow"/>
            </w:rPr>
          </w:r>
        </w:p>
      </w:sdtContent>
    </w:sdt>
    <w:p>
      <w:pPr>
        <w:pStyle w:val="892"/>
        <w:pBdr/>
        <w:spacing/>
        <w:ind/>
        <w:rPr>
          <w:rFonts w:eastAsia="Barlow" w:cs="Barlow"/>
          <w:color w:val="auto"/>
          <w:sz w:val="26"/>
          <w:szCs w:val="26"/>
          <w:u w:val="single"/>
        </w:rPr>
      </w:pPr>
      <w:r/>
      <w:bookmarkStart w:id="20" w:name="_Toc177566454"/>
      <w:r>
        <w:rPr>
          <w:rFonts w:eastAsia="Barlow" w:cs="Barlow"/>
          <w:color w:val="auto"/>
          <w:sz w:val="26"/>
          <w:szCs w:val="26"/>
          <w:u w:val="single"/>
        </w:rPr>
        <w:t xml:space="preserve">Présentation générale</w:t>
      </w:r>
      <w:bookmarkEnd w:id="20"/>
      <w:r/>
      <w:r>
        <w:rPr>
          <w:rFonts w:eastAsia="Barlow" w:cs="Barlow"/>
          <w:color w:val="auto"/>
          <w:sz w:val="26"/>
          <w:szCs w:val="26"/>
          <w:u w:val="single"/>
        </w:rPr>
      </w:r>
    </w:p>
    <w:p>
      <w:pPr>
        <w:pStyle w:val="893"/>
        <w:pBdr/>
        <w:spacing/>
        <w:ind/>
        <w:rPr>
          <w:sz w:val="24"/>
          <w:szCs w:val="24"/>
        </w:rPr>
      </w:pPr>
      <w:r/>
      <w:bookmarkStart w:id="21" w:name="_Toc177566455"/>
      <w:r>
        <w:rPr>
          <w:sz w:val="24"/>
          <w:szCs w:val="24"/>
        </w:rPr>
        <w:t xml:space="preserve">Objectifs</w:t>
      </w:r>
      <w:bookmarkEnd w:id="21"/>
      <w:r/>
      <w:r>
        <w:rPr>
          <w:sz w:val="24"/>
          <w:szCs w:val="24"/>
        </w:rPr>
      </w:r>
    </w:p>
    <w:p>
      <w:pPr>
        <w:pStyle w:val="1099"/>
        <w:pBdr/>
        <w:spacing w:line="276" w:lineRule="auto"/>
        <w:ind w:right="77"/>
        <w:jc w:val="both"/>
        <w:rPr>
          <w:spacing w:val="40"/>
          <w:sz w:val="22"/>
          <w:szCs w:val="22"/>
        </w:rPr>
      </w:pPr>
      <w:r>
        <w:rPr>
          <w:sz w:val="22"/>
          <w:szCs w:val="22"/>
        </w:rPr>
        <w:t xml:space="preserve">Manier les concepts et les outils de</w:t>
      </w:r>
      <w:r>
        <w:rPr>
          <w:spacing w:val="40"/>
          <w:sz w:val="22"/>
          <w:szCs w:val="22"/>
        </w:rPr>
        <w:t xml:space="preserve"> </w:t>
      </w:r>
      <w:r>
        <w:rPr>
          <w:sz w:val="22"/>
          <w:szCs w:val="22"/>
        </w:rPr>
        <w:t xml:space="preserve">l’interculturalité, de l’inclusion, des</w:t>
      </w:r>
      <w:r>
        <w:rPr>
          <w:spacing w:val="40"/>
          <w:sz w:val="22"/>
          <w:szCs w:val="22"/>
        </w:rPr>
        <w:t xml:space="preserve"> </w:t>
      </w:r>
      <w:r>
        <w:rPr>
          <w:sz w:val="22"/>
          <w:szCs w:val="22"/>
        </w:rPr>
        <w:t xml:space="preserve">politiques publiques éducatives et de</w:t>
      </w:r>
      <w:r>
        <w:rPr>
          <w:spacing w:val="40"/>
          <w:sz w:val="22"/>
          <w:szCs w:val="22"/>
        </w:rPr>
        <w:t xml:space="preserve"> </w:t>
      </w:r>
      <w:r>
        <w:rPr>
          <w:sz w:val="22"/>
          <w:szCs w:val="22"/>
        </w:rPr>
        <w:t xml:space="preserve">l’éducation artistique et culturelle ;</w:t>
      </w:r>
      <w:r>
        <w:rPr>
          <w:spacing w:val="40"/>
          <w:sz w:val="22"/>
          <w:szCs w:val="22"/>
        </w:rPr>
        <w:t xml:space="preserve"> </w:t>
      </w:r>
      <w:r>
        <w:rPr>
          <w:spacing w:val="40"/>
          <w:sz w:val="22"/>
          <w:szCs w:val="22"/>
        </w:rPr>
      </w:r>
    </w:p>
    <w:p>
      <w:pPr>
        <w:pStyle w:val="1099"/>
        <w:pBdr/>
        <w:spacing w:line="276" w:lineRule="auto"/>
        <w:ind w:right="77"/>
        <w:jc w:val="both"/>
        <w:rPr>
          <w:spacing w:val="-9"/>
          <w:sz w:val="22"/>
          <w:szCs w:val="22"/>
        </w:rPr>
      </w:pPr>
      <w:r>
        <w:rPr>
          <w:sz w:val="22"/>
          <w:szCs w:val="22"/>
        </w:rPr>
        <w:t xml:space="preserve">développer</w:t>
      </w:r>
      <w:r>
        <w:rPr>
          <w:sz w:val="22"/>
          <w:szCs w:val="22"/>
        </w:rPr>
        <w:t xml:space="preserve"> une méthodologie de</w:t>
      </w:r>
      <w:r>
        <w:rPr>
          <w:spacing w:val="40"/>
          <w:sz w:val="22"/>
          <w:szCs w:val="22"/>
        </w:rPr>
        <w:t xml:space="preserve"> </w:t>
      </w:r>
      <w:r>
        <w:rPr>
          <w:sz w:val="22"/>
          <w:szCs w:val="22"/>
        </w:rPr>
        <w:t xml:space="preserve">médiation</w:t>
      </w:r>
      <w:r>
        <w:rPr>
          <w:spacing w:val="-11"/>
          <w:sz w:val="22"/>
          <w:szCs w:val="22"/>
        </w:rPr>
        <w:t xml:space="preserve"> </w:t>
      </w:r>
      <w:r>
        <w:rPr>
          <w:sz w:val="22"/>
          <w:szCs w:val="22"/>
        </w:rPr>
        <w:t xml:space="preserve">avec</w:t>
      </w:r>
      <w:r>
        <w:rPr>
          <w:spacing w:val="-9"/>
          <w:sz w:val="22"/>
          <w:szCs w:val="22"/>
        </w:rPr>
        <w:t xml:space="preserve"> </w:t>
      </w:r>
      <w:r>
        <w:rPr>
          <w:sz w:val="22"/>
          <w:szCs w:val="22"/>
        </w:rPr>
        <w:t xml:space="preserve">les</w:t>
      </w:r>
      <w:r>
        <w:rPr>
          <w:spacing w:val="-9"/>
          <w:sz w:val="22"/>
          <w:szCs w:val="22"/>
        </w:rPr>
        <w:t xml:space="preserve"> </w:t>
      </w:r>
      <w:r>
        <w:rPr>
          <w:sz w:val="22"/>
          <w:szCs w:val="22"/>
        </w:rPr>
        <w:t xml:space="preserve">enfants</w:t>
      </w:r>
      <w:r>
        <w:rPr>
          <w:spacing w:val="-9"/>
          <w:sz w:val="22"/>
          <w:szCs w:val="22"/>
        </w:rPr>
        <w:t xml:space="preserve"> </w:t>
      </w:r>
      <w:r>
        <w:rPr>
          <w:sz w:val="22"/>
          <w:szCs w:val="22"/>
        </w:rPr>
        <w:t xml:space="preserve">;</w:t>
      </w:r>
      <w:r>
        <w:rPr>
          <w:spacing w:val="-9"/>
          <w:sz w:val="22"/>
          <w:szCs w:val="22"/>
        </w:rPr>
        <w:t xml:space="preserve"> </w:t>
      </w:r>
      <w:r>
        <w:rPr>
          <w:spacing w:val="-9"/>
          <w:sz w:val="22"/>
          <w:szCs w:val="22"/>
        </w:rPr>
      </w:r>
    </w:p>
    <w:p>
      <w:pPr>
        <w:pStyle w:val="1099"/>
        <w:pBdr/>
        <w:spacing w:line="276" w:lineRule="auto"/>
        <w:ind w:right="77"/>
        <w:jc w:val="both"/>
        <w:rPr>
          <w:sz w:val="22"/>
          <w:szCs w:val="22"/>
        </w:rPr>
      </w:pPr>
      <w:r>
        <w:rPr>
          <w:sz w:val="22"/>
          <w:szCs w:val="22"/>
        </w:rPr>
        <w:t xml:space="preserve">questionner</w:t>
      </w:r>
      <w:r>
        <w:rPr>
          <w:spacing w:val="40"/>
          <w:sz w:val="22"/>
          <w:szCs w:val="22"/>
        </w:rPr>
        <w:t xml:space="preserve"> </w:t>
      </w:r>
      <w:r>
        <w:rPr>
          <w:sz w:val="22"/>
          <w:szCs w:val="22"/>
        </w:rPr>
        <w:t xml:space="preserve">les processus de création à destination</w:t>
      </w:r>
      <w:r>
        <w:rPr>
          <w:spacing w:val="40"/>
          <w:sz w:val="22"/>
          <w:szCs w:val="22"/>
        </w:rPr>
        <w:t xml:space="preserve"> </w:t>
      </w:r>
      <w:r>
        <w:rPr>
          <w:sz w:val="22"/>
          <w:szCs w:val="22"/>
        </w:rPr>
        <w:t xml:space="preserve">du jeune public ;</w:t>
      </w:r>
      <w:r>
        <w:rPr>
          <w:sz w:val="22"/>
          <w:szCs w:val="22"/>
        </w:rPr>
      </w:r>
    </w:p>
    <w:p>
      <w:pPr>
        <w:pStyle w:val="1099"/>
        <w:pBdr/>
        <w:spacing w:line="276" w:lineRule="auto"/>
        <w:ind w:right="77"/>
        <w:jc w:val="both"/>
        <w:rPr>
          <w:sz w:val="22"/>
          <w:szCs w:val="22"/>
        </w:rPr>
      </w:pPr>
      <w:r>
        <w:rPr>
          <w:sz w:val="22"/>
          <w:szCs w:val="22"/>
        </w:rPr>
        <w:t xml:space="preserve">en</w:t>
      </w:r>
      <w:r>
        <w:rPr>
          <w:sz w:val="22"/>
          <w:szCs w:val="22"/>
        </w:rPr>
        <w:t xml:space="preserve"> comp</w:t>
      </w:r>
      <w:r>
        <w:rPr>
          <w:sz w:val="22"/>
          <w:szCs w:val="22"/>
        </w:rPr>
        <w:t xml:space="preserve">rendre</w:t>
      </w:r>
      <w:r>
        <w:rPr>
          <w:spacing w:val="40"/>
          <w:sz w:val="22"/>
          <w:szCs w:val="22"/>
        </w:rPr>
        <w:t xml:space="preserve"> </w:t>
      </w:r>
      <w:r>
        <w:rPr>
          <w:sz w:val="22"/>
          <w:szCs w:val="22"/>
        </w:rPr>
        <w:t xml:space="preserve">l’écosystème ;</w:t>
      </w:r>
      <w:r>
        <w:rPr>
          <w:sz w:val="22"/>
          <w:szCs w:val="22"/>
        </w:rPr>
      </w:r>
    </w:p>
    <w:p>
      <w:pPr>
        <w:pStyle w:val="1099"/>
        <w:pBdr/>
        <w:spacing w:line="276" w:lineRule="auto"/>
        <w:ind w:right="77"/>
        <w:jc w:val="both"/>
        <w:rPr>
          <w:sz w:val="22"/>
          <w:szCs w:val="22"/>
        </w:rPr>
      </w:pPr>
      <w:r>
        <w:rPr>
          <w:sz w:val="22"/>
          <w:szCs w:val="22"/>
        </w:rPr>
        <w:t xml:space="preserve">identifier</w:t>
      </w:r>
      <w:r>
        <w:rPr>
          <w:sz w:val="22"/>
          <w:szCs w:val="22"/>
        </w:rPr>
        <w:t xml:space="preserve"> un réseau</w:t>
      </w:r>
      <w:r>
        <w:rPr>
          <w:spacing w:val="40"/>
          <w:sz w:val="22"/>
          <w:szCs w:val="22"/>
        </w:rPr>
        <w:t xml:space="preserve"> </w:t>
      </w:r>
      <w:r>
        <w:rPr>
          <w:sz w:val="22"/>
          <w:szCs w:val="22"/>
        </w:rPr>
        <w:t xml:space="preserve">d’acteurs culturels et politiques.</w:t>
      </w:r>
      <w:r>
        <w:rPr>
          <w:sz w:val="22"/>
          <w:szCs w:val="22"/>
        </w:rPr>
      </w:r>
    </w:p>
    <w:p>
      <w:pPr>
        <w:pStyle w:val="1099"/>
        <w:pBdr/>
        <w:spacing w:line="276" w:lineRule="auto"/>
        <w:ind/>
        <w:jc w:val="both"/>
        <w:rPr>
          <w:sz w:val="22"/>
          <w:szCs w:val="22"/>
        </w:rPr>
      </w:pPr>
      <w:r>
        <w:rPr>
          <w:sz w:val="22"/>
          <w:szCs w:val="22"/>
        </w:rPr>
        <w:t xml:space="preserve">La</w:t>
      </w:r>
      <w:r>
        <w:rPr>
          <w:spacing w:val="-6"/>
          <w:sz w:val="22"/>
          <w:szCs w:val="22"/>
        </w:rPr>
        <w:t xml:space="preserve"> </w:t>
      </w:r>
      <w:r>
        <w:rPr>
          <w:sz w:val="22"/>
          <w:szCs w:val="22"/>
        </w:rPr>
        <w:t xml:space="preserve">formation</w:t>
      </w:r>
      <w:r>
        <w:rPr>
          <w:spacing w:val="-5"/>
          <w:sz w:val="22"/>
          <w:szCs w:val="22"/>
        </w:rPr>
        <w:t xml:space="preserve"> </w:t>
      </w:r>
      <w:r>
        <w:rPr>
          <w:sz w:val="22"/>
          <w:szCs w:val="22"/>
        </w:rPr>
        <w:t xml:space="preserve">s’organise</w:t>
      </w:r>
      <w:r>
        <w:rPr>
          <w:spacing w:val="-6"/>
          <w:sz w:val="22"/>
          <w:szCs w:val="22"/>
        </w:rPr>
        <w:t xml:space="preserve"> </w:t>
      </w:r>
      <w:r>
        <w:rPr>
          <w:sz w:val="22"/>
          <w:szCs w:val="22"/>
        </w:rPr>
        <w:t xml:space="preserve">en</w:t>
      </w:r>
      <w:r>
        <w:rPr>
          <w:spacing w:val="-5"/>
          <w:sz w:val="22"/>
          <w:szCs w:val="22"/>
        </w:rPr>
        <w:t xml:space="preserve"> </w:t>
      </w:r>
      <w:r>
        <w:rPr>
          <w:sz w:val="22"/>
          <w:szCs w:val="22"/>
        </w:rPr>
        <w:t xml:space="preserve">3</w:t>
      </w:r>
      <w:r>
        <w:rPr>
          <w:spacing w:val="-6"/>
          <w:sz w:val="22"/>
          <w:szCs w:val="22"/>
        </w:rPr>
        <w:t xml:space="preserve"> </w:t>
      </w:r>
      <w:r>
        <w:rPr>
          <w:sz w:val="22"/>
          <w:szCs w:val="22"/>
        </w:rPr>
        <w:t xml:space="preserve">modules</w:t>
      </w:r>
      <w:r>
        <w:rPr>
          <w:spacing w:val="-5"/>
          <w:sz w:val="22"/>
          <w:szCs w:val="22"/>
        </w:rPr>
        <w:t xml:space="preserve"> </w:t>
      </w:r>
      <w:r>
        <w:rPr>
          <w:spacing w:val="-10"/>
          <w:sz w:val="22"/>
          <w:szCs w:val="22"/>
        </w:rPr>
        <w:t xml:space="preserve">:</w:t>
      </w:r>
      <w:r>
        <w:rPr>
          <w:sz w:val="22"/>
          <w:szCs w:val="22"/>
        </w:rPr>
      </w:r>
    </w:p>
    <w:p>
      <w:pPr>
        <w:pStyle w:val="1084"/>
        <w:widowControl w:val="false"/>
        <w:numPr>
          <w:ilvl w:val="0"/>
          <w:numId w:val="13"/>
        </w:numPr>
        <w:pBdr/>
        <w:tabs>
          <w:tab w:val="left" w:leader="none" w:pos="4253"/>
        </w:tabs>
        <w:spacing w:after="0" w:before="9" w:line="276" w:lineRule="auto"/>
        <w:ind w:left="0"/>
        <w:jc w:val="both"/>
        <w:rPr/>
      </w:pPr>
      <w:r>
        <w:t xml:space="preserve">« </w:t>
      </w:r>
      <w:r>
        <w:t xml:space="preserve">art</w:t>
      </w:r>
      <w:r>
        <w:t xml:space="preserve"> et enfance », donnant à la fois une</w:t>
      </w:r>
      <w:r>
        <w:rPr>
          <w:spacing w:val="40"/>
        </w:rPr>
        <w:t xml:space="preserve"> </w:t>
      </w:r>
      <w:r>
        <w:t xml:space="preserve">perspective</w:t>
      </w:r>
      <w:r>
        <w:rPr>
          <w:spacing w:val="-11"/>
        </w:rPr>
        <w:t xml:space="preserve"> </w:t>
      </w:r>
      <w:r>
        <w:t xml:space="preserve">historique</w:t>
      </w:r>
      <w:r>
        <w:rPr>
          <w:spacing w:val="-9"/>
        </w:rPr>
        <w:t xml:space="preserve"> </w:t>
      </w:r>
      <w:r>
        <w:t xml:space="preserve">et</w:t>
      </w:r>
      <w:r>
        <w:rPr>
          <w:spacing w:val="-9"/>
        </w:rPr>
        <w:t xml:space="preserve"> </w:t>
      </w:r>
      <w:r>
        <w:t xml:space="preserve">épistémologique</w:t>
      </w:r>
      <w:r>
        <w:rPr>
          <w:spacing w:val="40"/>
        </w:rPr>
        <w:t xml:space="preserve"> </w:t>
      </w:r>
      <w:r>
        <w:t xml:space="preserve">et développant des problématiques</w:t>
      </w:r>
      <w:r>
        <w:rPr>
          <w:spacing w:val="40"/>
        </w:rPr>
        <w:t xml:space="preserve"> </w:t>
      </w:r>
      <w:r>
        <w:rPr>
          <w:spacing w:val="-2"/>
        </w:rPr>
        <w:t xml:space="preserve">contemporaines</w:t>
      </w:r>
      <w:r/>
    </w:p>
    <w:p>
      <w:pPr>
        <w:pStyle w:val="1084"/>
        <w:widowControl w:val="false"/>
        <w:numPr>
          <w:ilvl w:val="0"/>
          <w:numId w:val="13"/>
        </w:numPr>
        <w:pBdr/>
        <w:tabs>
          <w:tab w:val="left" w:leader="none" w:pos="4253"/>
        </w:tabs>
        <w:spacing w:after="0" w:before="1" w:line="276" w:lineRule="auto"/>
        <w:ind w:right="57" w:left="0"/>
        <w:jc w:val="both"/>
        <w:rPr/>
      </w:pPr>
      <w:r>
        <w:t xml:space="preserve">«</w:t>
      </w:r>
      <w:r>
        <w:rPr>
          <w:spacing w:val="-6"/>
        </w:rPr>
        <w:t xml:space="preserve"> </w:t>
      </w:r>
      <w:r>
        <w:t xml:space="preserve">terr</w:t>
      </w:r>
      <w:r>
        <w:t xml:space="preserve">ains</w:t>
      </w:r>
      <w:r>
        <w:rPr>
          <w:spacing w:val="-6"/>
        </w:rPr>
        <w:t xml:space="preserve"> </w:t>
      </w:r>
      <w:r>
        <w:t xml:space="preserve">et</w:t>
      </w:r>
      <w:r>
        <w:rPr>
          <w:spacing w:val="-6"/>
        </w:rPr>
        <w:t xml:space="preserve"> </w:t>
      </w:r>
      <w:r>
        <w:t xml:space="preserve">création</w:t>
      </w:r>
      <w:r>
        <w:rPr>
          <w:spacing w:val="-6"/>
        </w:rPr>
        <w:t xml:space="preserve"> </w:t>
      </w:r>
      <w:r>
        <w:t xml:space="preserve">»,</w:t>
      </w:r>
      <w:r>
        <w:rPr>
          <w:spacing w:val="-6"/>
        </w:rPr>
        <w:t xml:space="preserve"> </w:t>
      </w:r>
      <w:r>
        <w:t xml:space="preserve">en</w:t>
      </w:r>
      <w:r>
        <w:rPr>
          <w:spacing w:val="-6"/>
        </w:rPr>
        <w:t xml:space="preserve"> </w:t>
      </w:r>
      <w:r>
        <w:t xml:space="preserve">prise</w:t>
      </w:r>
      <w:r>
        <w:rPr>
          <w:spacing w:val="-6"/>
        </w:rPr>
        <w:t xml:space="preserve"> </w:t>
      </w:r>
      <w:r>
        <w:t xml:space="preserve">avec</w:t>
      </w:r>
      <w:r>
        <w:rPr>
          <w:spacing w:val="-6"/>
        </w:rPr>
        <w:t xml:space="preserve"> </w:t>
      </w:r>
      <w:r>
        <w:t xml:space="preserve">les</w:t>
      </w:r>
      <w:r>
        <w:rPr>
          <w:spacing w:val="40"/>
        </w:rPr>
        <w:t xml:space="preserve"> </w:t>
      </w:r>
      <w:r>
        <w:t xml:space="preserve">enjeux esthétiques, territoriaux et socio-politiques du domaine</w:t>
      </w:r>
      <w:r/>
    </w:p>
    <w:p>
      <w:pPr>
        <w:pStyle w:val="1084"/>
        <w:widowControl w:val="false"/>
        <w:numPr>
          <w:ilvl w:val="0"/>
          <w:numId w:val="13"/>
        </w:numPr>
        <w:pBdr/>
        <w:tabs>
          <w:tab w:val="left" w:leader="none" w:pos="4253"/>
        </w:tabs>
        <w:spacing w:after="0" w:before="1" w:line="276" w:lineRule="auto"/>
        <w:ind w:right="18" w:left="0"/>
        <w:jc w:val="both"/>
        <w:rPr/>
      </w:pPr>
      <w:r>
        <w:t xml:space="preserve">« </w:t>
      </w:r>
      <w:r>
        <w:t xml:space="preserve">spécialisation</w:t>
      </w:r>
      <w:r>
        <w:t xml:space="preserve"> »,</w:t>
      </w:r>
      <w:r>
        <w:rPr>
          <w:spacing w:val="-9"/>
        </w:rPr>
        <w:t xml:space="preserve"> </w:t>
      </w:r>
      <w:r>
        <w:t xml:space="preserve">s’appuyant</w:t>
      </w:r>
      <w:r>
        <w:rPr>
          <w:spacing w:val="-9"/>
        </w:rPr>
        <w:t xml:space="preserve"> </w:t>
      </w:r>
      <w:r>
        <w:t xml:space="preserve">sur</w:t>
      </w:r>
      <w:r>
        <w:rPr>
          <w:spacing w:val="-9"/>
        </w:rPr>
        <w:t xml:space="preserve"> </w:t>
      </w:r>
      <w:r>
        <w:t xml:space="preserve">des</w:t>
      </w:r>
      <w:r>
        <w:rPr>
          <w:spacing w:val="-9"/>
        </w:rPr>
        <w:t xml:space="preserve"> </w:t>
      </w:r>
      <w:r>
        <w:t xml:space="preserve">études</w:t>
      </w:r>
      <w:r>
        <w:rPr>
          <w:spacing w:val="40"/>
        </w:rPr>
        <w:t xml:space="preserve"> </w:t>
      </w:r>
      <w:r>
        <w:t xml:space="preserve">de cas en musique, arts visuels (cinéma</w:t>
      </w:r>
      <w:r>
        <w:rPr>
          <w:spacing w:val="40"/>
        </w:rPr>
        <w:t xml:space="preserve"> </w:t>
      </w:r>
      <w:r>
        <w:t xml:space="preserve">d’animation et illustration) et théâtre que</w:t>
      </w:r>
      <w:r>
        <w:rPr>
          <w:spacing w:val="40"/>
        </w:rPr>
        <w:t xml:space="preserve"> </w:t>
      </w:r>
      <w:r>
        <w:t xml:space="preserve">l’</w:t>
      </w:r>
      <w:r>
        <w:t xml:space="preserve">étudiant.e</w:t>
      </w:r>
      <w:r>
        <w:t xml:space="preserve"> peut suivre tout ou partie.</w:t>
      </w:r>
      <w:r/>
    </w:p>
    <w:p>
      <w:pPr>
        <w:pStyle w:val="1084"/>
        <w:widowControl w:val="false"/>
        <w:pBdr/>
        <w:tabs>
          <w:tab w:val="left" w:leader="none" w:pos="4253"/>
        </w:tabs>
        <w:spacing w:after="0" w:before="1" w:line="276" w:lineRule="auto"/>
        <w:ind w:right="18" w:left="0"/>
        <w:jc w:val="both"/>
        <w:rPr/>
      </w:pPr>
      <w:r/>
      <w:r/>
    </w:p>
    <w:p>
      <w:pPr>
        <w:pStyle w:val="893"/>
        <w:pBdr/>
        <w:spacing/>
        <w:ind/>
        <w:rPr>
          <w:sz w:val="24"/>
          <w:szCs w:val="24"/>
        </w:rPr>
      </w:pPr>
      <w:r/>
      <w:bookmarkStart w:id="22" w:name="_Toc177566456"/>
      <w:r>
        <w:rPr>
          <w:sz w:val="24"/>
          <w:szCs w:val="24"/>
        </w:rPr>
        <w:t xml:space="preserve">Admission</w:t>
      </w:r>
      <w:bookmarkEnd w:id="22"/>
      <w:r/>
      <w:r>
        <w:rPr>
          <w:sz w:val="24"/>
          <w:szCs w:val="24"/>
        </w:rPr>
      </w:r>
    </w:p>
    <w:p>
      <w:pPr>
        <w:pStyle w:val="1099"/>
        <w:pBdr/>
        <w:spacing w:after="120" w:before="20"/>
        <w:ind/>
        <w:rPr>
          <w:b/>
          <w:sz w:val="22"/>
          <w:szCs w:val="22"/>
        </w:rPr>
      </w:pPr>
      <w:r>
        <w:rPr>
          <w:b/>
          <w:spacing w:val="-2"/>
          <w:sz w:val="22"/>
          <w:szCs w:val="22"/>
        </w:rPr>
        <w:t xml:space="preserve">Pré-requis</w:t>
      </w:r>
      <w:r>
        <w:rPr>
          <w:b/>
          <w:sz w:val="22"/>
          <w:szCs w:val="22"/>
        </w:rPr>
      </w:r>
    </w:p>
    <w:p>
      <w:pPr>
        <w:pStyle w:val="1099"/>
        <w:pBdr/>
        <w:spacing w:after="120" w:before="13" w:line="276" w:lineRule="auto"/>
        <w:ind/>
        <w:rPr>
          <w:sz w:val="22"/>
          <w:szCs w:val="22"/>
        </w:rPr>
      </w:pPr>
      <w:r>
        <w:rPr>
          <w:sz w:val="22"/>
          <w:szCs w:val="22"/>
        </w:rPr>
        <w:t xml:space="preserve">Être</w:t>
      </w:r>
      <w:r>
        <w:rPr>
          <w:spacing w:val="-4"/>
          <w:sz w:val="22"/>
          <w:szCs w:val="22"/>
        </w:rPr>
        <w:t xml:space="preserve"> </w:t>
      </w:r>
      <w:r>
        <w:rPr>
          <w:sz w:val="22"/>
          <w:szCs w:val="22"/>
        </w:rPr>
        <w:t xml:space="preserve">titulaire</w:t>
      </w:r>
      <w:r>
        <w:rPr>
          <w:spacing w:val="-2"/>
          <w:sz w:val="22"/>
          <w:szCs w:val="22"/>
        </w:rPr>
        <w:t xml:space="preserve"> </w:t>
      </w:r>
      <w:r>
        <w:rPr>
          <w:sz w:val="22"/>
          <w:szCs w:val="22"/>
        </w:rPr>
        <w:t xml:space="preserve">d’une</w:t>
      </w:r>
      <w:r>
        <w:rPr>
          <w:spacing w:val="-1"/>
          <w:sz w:val="22"/>
          <w:szCs w:val="22"/>
        </w:rPr>
        <w:t xml:space="preserve"> </w:t>
      </w:r>
      <w:r>
        <w:rPr>
          <w:sz w:val="22"/>
          <w:szCs w:val="22"/>
        </w:rPr>
        <w:t xml:space="preserve">licence</w:t>
      </w:r>
      <w:r>
        <w:rPr>
          <w:spacing w:val="-2"/>
          <w:sz w:val="22"/>
          <w:szCs w:val="22"/>
        </w:rPr>
        <w:t xml:space="preserve"> </w:t>
      </w:r>
      <w:r>
        <w:rPr>
          <w:sz w:val="22"/>
          <w:szCs w:val="22"/>
        </w:rPr>
        <w:t xml:space="preserve">ou</w:t>
      </w:r>
      <w:r>
        <w:rPr>
          <w:spacing w:val="-1"/>
          <w:sz w:val="22"/>
          <w:szCs w:val="22"/>
        </w:rPr>
        <w:t xml:space="preserve"> </w:t>
      </w:r>
      <w:r>
        <w:rPr>
          <w:spacing w:val="-2"/>
          <w:sz w:val="22"/>
          <w:szCs w:val="22"/>
        </w:rPr>
        <w:t xml:space="preserve">équivalent</w:t>
      </w:r>
      <w:r>
        <w:rPr>
          <w:sz w:val="22"/>
          <w:szCs w:val="22"/>
        </w:rPr>
      </w:r>
    </w:p>
    <w:p>
      <w:pPr>
        <w:pStyle w:val="1099"/>
        <w:pBdr/>
        <w:spacing w:before="19" w:line="276" w:lineRule="auto"/>
        <w:ind/>
        <w:rPr>
          <w:b/>
          <w:sz w:val="22"/>
          <w:szCs w:val="22"/>
        </w:rPr>
      </w:pPr>
      <w:r>
        <w:rPr>
          <w:b/>
          <w:spacing w:val="-2"/>
          <w:sz w:val="22"/>
          <w:szCs w:val="22"/>
        </w:rPr>
        <w:t xml:space="preserve">Candidatures</w:t>
      </w:r>
      <w:r>
        <w:rPr>
          <w:b/>
          <w:sz w:val="22"/>
          <w:szCs w:val="22"/>
        </w:rPr>
      </w:r>
    </w:p>
    <w:p>
      <w:pPr>
        <w:pStyle w:val="1099"/>
        <w:pBdr/>
        <w:spacing w:before="13" w:line="276" w:lineRule="auto"/>
        <w:ind w:right="1258"/>
        <w:rPr>
          <w:sz w:val="22"/>
          <w:szCs w:val="22"/>
        </w:rPr>
      </w:pPr>
      <w:r/>
      <w:hyperlink r:id="rId17" w:tooltip="https://candidatures2.univ-st-etienne.fr/ecandidat/#!accueilView" w:anchor="!accueilView" w:history="1">
        <w:r>
          <w:rPr>
            <w:rStyle w:val="1085"/>
            <w:sz w:val="22"/>
            <w:szCs w:val="22"/>
          </w:rPr>
          <w:t xml:space="preserve">plateforme</w:t>
        </w:r>
        <w:r>
          <w:rPr>
            <w:rStyle w:val="1085"/>
            <w:spacing w:val="40"/>
            <w:sz w:val="22"/>
            <w:szCs w:val="22"/>
          </w:rPr>
          <w:t xml:space="preserve"> </w:t>
        </w:r>
        <w:r>
          <w:rPr>
            <w:rStyle w:val="1085"/>
            <w:spacing w:val="-2"/>
            <w:sz w:val="22"/>
            <w:szCs w:val="22"/>
          </w:rPr>
          <w:t xml:space="preserve">ecandidat</w:t>
        </w:r>
      </w:hyperlink>
      <w:r/>
      <w:r>
        <w:rPr>
          <w:sz w:val="22"/>
          <w:szCs w:val="22"/>
        </w:rPr>
      </w:r>
    </w:p>
    <w:p>
      <w:pPr>
        <w:pStyle w:val="1099"/>
        <w:pBdr/>
        <w:spacing w:line="276" w:lineRule="auto"/>
        <w:ind w:right="-1"/>
        <w:rPr>
          <w:sz w:val="22"/>
          <w:szCs w:val="22"/>
        </w:rPr>
      </w:pPr>
      <w:r>
        <w:rPr>
          <w:sz w:val="22"/>
          <w:szCs w:val="22"/>
        </w:rPr>
        <w:t xml:space="preserve">pour</w:t>
      </w:r>
      <w:r>
        <w:rPr>
          <w:sz w:val="22"/>
          <w:szCs w:val="22"/>
        </w:rPr>
        <w:t xml:space="preserve"> les candidat.es en formation continue, contacter </w:t>
      </w:r>
      <w:hyperlink r:id="rId18" w:tooltip="mailto:baptiste.monier@univ-st-etienne.fr" w:history="1">
        <w:r>
          <w:rPr>
            <w:rStyle w:val="1085"/>
            <w:sz w:val="22"/>
            <w:szCs w:val="22"/>
          </w:rPr>
          <w:t xml:space="preserve">baptiste.monier@univ-st-etienne.fr</w:t>
        </w:r>
      </w:hyperlink>
      <w:r>
        <w:rPr>
          <w:sz w:val="22"/>
          <w:szCs w:val="22"/>
        </w:rPr>
        <w:t xml:space="preserve"> </w:t>
      </w:r>
      <w:r>
        <w:rPr>
          <w:sz w:val="22"/>
          <w:szCs w:val="22"/>
        </w:rPr>
      </w:r>
    </w:p>
    <w:p>
      <w:pPr>
        <w:pStyle w:val="1099"/>
        <w:pBdr/>
        <w:spacing w:line="276" w:lineRule="auto"/>
        <w:ind w:right="-1"/>
        <w:rPr>
          <w:sz w:val="22"/>
          <w:szCs w:val="22"/>
        </w:rPr>
      </w:pPr>
      <w:r>
        <w:rPr>
          <w:sz w:val="22"/>
          <w:szCs w:val="22"/>
        </w:rPr>
        <w:t xml:space="preserve">Date limite 1</w:t>
      </w:r>
      <w:r>
        <w:rPr>
          <w:sz w:val="22"/>
          <w:szCs w:val="22"/>
          <w:vertAlign w:val="superscript"/>
        </w:rPr>
        <w:t xml:space="preserve">ère</w:t>
      </w:r>
      <w:r>
        <w:rPr>
          <w:sz w:val="22"/>
          <w:szCs w:val="22"/>
        </w:rPr>
        <w:t xml:space="preserve"> vague : 30 juin 2025</w:t>
      </w:r>
      <w:r>
        <w:rPr>
          <w:sz w:val="22"/>
          <w:szCs w:val="22"/>
        </w:rPr>
      </w:r>
    </w:p>
    <w:p>
      <w:pPr>
        <w:pStyle w:val="1099"/>
        <w:pBdr/>
        <w:spacing w:line="276" w:lineRule="auto"/>
        <w:ind w:right="-1"/>
        <w:rPr>
          <w:sz w:val="22"/>
          <w:szCs w:val="22"/>
        </w:rPr>
      </w:pPr>
      <w:r>
        <w:rPr>
          <w:sz w:val="22"/>
          <w:szCs w:val="22"/>
        </w:rPr>
        <w:t xml:space="preserve">Date limite 2</w:t>
      </w:r>
      <w:r>
        <w:rPr>
          <w:sz w:val="22"/>
          <w:szCs w:val="22"/>
          <w:vertAlign w:val="superscript"/>
        </w:rPr>
        <w:t xml:space="preserve">de</w:t>
      </w:r>
      <w:r>
        <w:rPr>
          <w:sz w:val="22"/>
          <w:szCs w:val="22"/>
        </w:rPr>
        <w:t xml:space="preserve"> vague : 27 septembre 2025</w:t>
      </w:r>
      <w:r>
        <w:rPr>
          <w:sz w:val="22"/>
          <w:szCs w:val="22"/>
        </w:rPr>
      </w:r>
    </w:p>
    <w:p>
      <w:pPr>
        <w:pStyle w:val="1099"/>
        <w:pBdr/>
        <w:spacing w:line="276" w:lineRule="auto"/>
        <w:ind w:right="-1"/>
        <w:rPr>
          <w:sz w:val="22"/>
          <w:szCs w:val="22"/>
        </w:rPr>
      </w:pPr>
      <w:r>
        <w:rPr>
          <w:sz w:val="22"/>
          <w:szCs w:val="22"/>
        </w:rPr>
      </w:r>
      <w:r>
        <w:rPr>
          <w:sz w:val="22"/>
          <w:szCs w:val="22"/>
        </w:rPr>
      </w:r>
    </w:p>
    <w:p>
      <w:pPr>
        <w:pStyle w:val="893"/>
        <w:pBdr/>
        <w:spacing w:line="276" w:lineRule="auto"/>
        <w:ind/>
        <w:rPr>
          <w:sz w:val="24"/>
          <w:szCs w:val="24"/>
        </w:rPr>
      </w:pPr>
      <w:r/>
      <w:bookmarkStart w:id="23" w:name="_Toc177566457"/>
      <w:r>
        <w:rPr>
          <w:sz w:val="24"/>
          <w:szCs w:val="24"/>
        </w:rPr>
        <w:t xml:space="preserve">Tarifs</w:t>
      </w:r>
      <w:bookmarkEnd w:id="23"/>
      <w:r/>
      <w:r>
        <w:rPr>
          <w:sz w:val="24"/>
          <w:szCs w:val="24"/>
        </w:rPr>
      </w:r>
    </w:p>
    <w:p>
      <w:pPr>
        <w:pStyle w:val="1099"/>
        <w:pBdr/>
        <w:spacing w:line="276" w:lineRule="auto"/>
        <w:ind w:right="902"/>
        <w:rPr>
          <w:spacing w:val="40"/>
          <w:sz w:val="22"/>
          <w:szCs w:val="22"/>
        </w:rPr>
      </w:pPr>
      <w:r>
        <w:rPr>
          <w:sz w:val="22"/>
          <w:szCs w:val="22"/>
        </w:rPr>
        <w:t xml:space="preserve">Gratuit</w:t>
      </w:r>
      <w:r>
        <w:rPr>
          <w:spacing w:val="-9"/>
          <w:sz w:val="22"/>
          <w:szCs w:val="22"/>
        </w:rPr>
        <w:t xml:space="preserve"> </w:t>
      </w:r>
      <w:r>
        <w:rPr>
          <w:sz w:val="22"/>
          <w:szCs w:val="22"/>
        </w:rPr>
        <w:t xml:space="preserve">pour</w:t>
      </w:r>
      <w:r>
        <w:rPr>
          <w:spacing w:val="-9"/>
          <w:sz w:val="22"/>
          <w:szCs w:val="22"/>
        </w:rPr>
        <w:t xml:space="preserve"> </w:t>
      </w:r>
      <w:r>
        <w:rPr>
          <w:sz w:val="22"/>
          <w:szCs w:val="22"/>
        </w:rPr>
        <w:t xml:space="preserve">les</w:t>
      </w:r>
      <w:r>
        <w:rPr>
          <w:spacing w:val="-9"/>
          <w:sz w:val="22"/>
          <w:szCs w:val="22"/>
        </w:rPr>
        <w:t xml:space="preserve"> </w:t>
      </w:r>
      <w:r>
        <w:rPr>
          <w:sz w:val="22"/>
          <w:szCs w:val="22"/>
        </w:rPr>
        <w:t xml:space="preserve">étudiant.es</w:t>
      </w:r>
      <w:r>
        <w:rPr>
          <w:spacing w:val="-9"/>
          <w:sz w:val="22"/>
          <w:szCs w:val="22"/>
        </w:rPr>
        <w:t xml:space="preserve"> </w:t>
      </w:r>
      <w:r>
        <w:rPr>
          <w:sz w:val="22"/>
          <w:szCs w:val="22"/>
        </w:rPr>
        <w:t xml:space="preserve">de</w:t>
      </w:r>
      <w:r>
        <w:rPr>
          <w:spacing w:val="-9"/>
          <w:sz w:val="22"/>
          <w:szCs w:val="22"/>
        </w:rPr>
        <w:t xml:space="preserve"> </w:t>
      </w:r>
      <w:r>
        <w:rPr>
          <w:sz w:val="22"/>
          <w:szCs w:val="22"/>
        </w:rPr>
        <w:t xml:space="preserve">l’UJM</w:t>
      </w:r>
      <w:r>
        <w:rPr>
          <w:spacing w:val="40"/>
          <w:sz w:val="22"/>
          <w:szCs w:val="22"/>
        </w:rPr>
        <w:t xml:space="preserve"> </w:t>
      </w:r>
      <w:r>
        <w:rPr>
          <w:spacing w:val="40"/>
          <w:sz w:val="22"/>
          <w:szCs w:val="22"/>
        </w:rPr>
      </w:r>
    </w:p>
    <w:p>
      <w:pPr>
        <w:pStyle w:val="1099"/>
        <w:pBdr/>
        <w:spacing w:line="276" w:lineRule="auto"/>
        <w:ind w:right="902"/>
        <w:rPr>
          <w:sz w:val="22"/>
          <w:szCs w:val="22"/>
        </w:rPr>
      </w:pPr>
      <w:r>
        <w:rPr>
          <w:sz w:val="22"/>
          <w:szCs w:val="22"/>
        </w:rPr>
        <w:t xml:space="preserve">400 euros pour les extérieurs</w:t>
      </w:r>
      <w:r>
        <w:rPr>
          <w:sz w:val="22"/>
          <w:szCs w:val="22"/>
        </w:rPr>
      </w:r>
    </w:p>
    <w:p>
      <w:pPr>
        <w:pStyle w:val="1099"/>
        <w:pBdr/>
        <w:spacing w:line="276" w:lineRule="auto"/>
        <w:ind/>
        <w:rPr>
          <w:sz w:val="22"/>
          <w:szCs w:val="22"/>
        </w:rPr>
      </w:pPr>
      <w:r>
        <w:rPr>
          <w:sz w:val="22"/>
          <w:szCs w:val="22"/>
        </w:rPr>
        <w:t xml:space="preserve">850</w:t>
      </w:r>
      <w:r>
        <w:rPr>
          <w:spacing w:val="-3"/>
          <w:sz w:val="22"/>
          <w:szCs w:val="22"/>
        </w:rPr>
        <w:t xml:space="preserve"> </w:t>
      </w:r>
      <w:r>
        <w:rPr>
          <w:sz w:val="22"/>
          <w:szCs w:val="22"/>
        </w:rPr>
        <w:t xml:space="preserve">euros</w:t>
      </w:r>
      <w:r>
        <w:rPr>
          <w:spacing w:val="-3"/>
          <w:sz w:val="22"/>
          <w:szCs w:val="22"/>
        </w:rPr>
        <w:t xml:space="preserve"> </w:t>
      </w:r>
      <w:r>
        <w:rPr>
          <w:sz w:val="22"/>
          <w:szCs w:val="22"/>
        </w:rPr>
        <w:t xml:space="preserve">en</w:t>
      </w:r>
      <w:r>
        <w:rPr>
          <w:spacing w:val="-3"/>
          <w:sz w:val="22"/>
          <w:szCs w:val="22"/>
        </w:rPr>
        <w:t xml:space="preserve"> </w:t>
      </w:r>
      <w:r>
        <w:rPr>
          <w:sz w:val="22"/>
          <w:szCs w:val="22"/>
        </w:rPr>
        <w:t xml:space="preserve">formation</w:t>
      </w:r>
      <w:r>
        <w:rPr>
          <w:spacing w:val="-2"/>
          <w:sz w:val="22"/>
          <w:szCs w:val="22"/>
        </w:rPr>
        <w:t xml:space="preserve"> continue</w:t>
      </w:r>
      <w:r>
        <w:rPr>
          <w:sz w:val="22"/>
          <w:szCs w:val="22"/>
        </w:rPr>
      </w:r>
    </w:p>
    <w:p>
      <w:pPr>
        <w:pBdr/>
        <w:spacing/>
        <w:ind/>
        <w:rPr/>
      </w:pPr>
      <w:r/>
      <w:r/>
    </w:p>
    <w:p>
      <w:pPr>
        <w:pBdr/>
        <w:spacing/>
        <w:ind/>
        <w:rPr>
          <w:b/>
          <w:bCs/>
          <w:u w:val="single"/>
        </w:rPr>
      </w:pPr>
      <w:r>
        <w:t xml:space="preserve"> Toutes les informations disponibles </w:t>
      </w:r>
      <w:hyperlink r:id="rId19" w:tooltip="https://arts.univ-st-etienne.fr/formations/formation-continue/" w:history="1">
        <w:r>
          <w:rPr>
            <w:rStyle w:val="1085"/>
          </w:rPr>
          <w:t xml:space="preserve">sur le site </w:t>
        </w:r>
        <w:r>
          <w:rPr>
            <w:rStyle w:val="1085"/>
          </w:rPr>
          <w:t xml:space="preserve">de l’Institut ARTS</w:t>
        </w:r>
      </w:hyperlink>
      <w:r>
        <w:br/>
      </w:r>
      <w:r>
        <w:rPr>
          <w:b/>
          <w:bCs/>
          <w:u w:val="single"/>
        </w:rPr>
      </w:r>
    </w:p>
    <w:p>
      <w:pPr>
        <w:pBdr/>
        <w:spacing w:after="160"/>
        <w:ind/>
        <w:rPr>
          <w:b/>
          <w:color w:val="000000" w:themeColor="text1"/>
        </w:rPr>
      </w:pPr>
      <w:r>
        <w:br w:type="page" w:clear="all"/>
      </w:r>
      <w:r>
        <w:rPr>
          <w:b/>
          <w:color w:val="000000" w:themeColor="text1"/>
        </w:rPr>
      </w:r>
    </w:p>
    <w:p>
      <w:pPr>
        <w:pStyle w:val="892"/>
        <w:pBdr/>
        <w:spacing/>
        <w:ind/>
        <w:rPr>
          <w:rFonts w:cs="Barlow"/>
          <w:sz w:val="22"/>
          <w:szCs w:val="22"/>
        </w:rPr>
      </w:pPr>
      <w:r/>
      <w:bookmarkStart w:id="24" w:name="_Toc177566458"/>
      <w:r>
        <w:rPr>
          <w:rFonts w:eastAsia="Barlow" w:cs="Barlow"/>
          <w:sz w:val="22"/>
          <w:szCs w:val="22"/>
          <w:u w:val="single"/>
        </w:rPr>
        <w:t xml:space="preserve">Maquette des cours</w:t>
      </w:r>
      <w:bookmarkEnd w:id="24"/>
      <w:r/>
      <w:r>
        <w:rPr>
          <w:rFonts w:cs="Barlow"/>
          <w:sz w:val="22"/>
          <w:szCs w:val="22"/>
        </w:rPr>
      </w:r>
    </w:p>
    <w:tbl>
      <w:tblPr>
        <w:tblStyle w:val="920"/>
        <w:tblW w:w="10343" w:type="dxa"/>
        <w:tblInd w:w="-567" w:type="dxa"/>
        <w:tblBorders/>
        <w:tblLayout w:type="fixed"/>
        <w:tblLook w:val="04A0" w:firstRow="1" w:lastRow="0" w:firstColumn="1" w:lastColumn="0" w:noHBand="0" w:noVBand="1"/>
      </w:tblPr>
      <w:tblGrid>
        <w:gridCol w:w="709"/>
        <w:gridCol w:w="7650"/>
        <w:gridCol w:w="1275"/>
        <w:gridCol w:w="709"/>
      </w:tblGrid>
      <w:tr>
        <w:trPr>
          <w:trHeight w:val="818"/>
        </w:trPr>
        <w:tc>
          <w:tcPr>
            <w:tcBorders/>
            <w:tcW w:w="709" w:type="dxa"/>
            <w:textDirection w:val="lrTb"/>
            <w:noWrap w:val="false"/>
          </w:tcPr>
          <w:p>
            <w:pPr>
              <w:pStyle w:val="1065"/>
              <w:pBdr/>
              <w:spacing/>
              <w:ind/>
              <w:rPr/>
            </w:pPr>
            <w:r/>
            <w:r/>
          </w:p>
        </w:tc>
        <w:tc>
          <w:tcPr>
            <w:tcBorders/>
            <w:tcW w:w="7650" w:type="dxa"/>
            <w:textDirection w:val="lrTb"/>
            <w:noWrap w:val="false"/>
          </w:tcPr>
          <w:p>
            <w:pPr>
              <w:pStyle w:val="1065"/>
              <w:pBdr/>
              <w:spacing/>
              <w:ind/>
              <w:rPr>
                <w:i/>
              </w:rPr>
            </w:pPr>
            <w:r>
              <w:t xml:space="preserve">Intitulé du cours</w:t>
            </w:r>
            <w:r>
              <w:br/>
            </w:r>
            <w:r>
              <w:rPr>
                <w:i/>
              </w:rPr>
              <w:t xml:space="preserve">utilisez les liens du document pour découvrir les </w:t>
            </w:r>
            <w:r>
              <w:rPr>
                <w:i/>
              </w:rPr>
              <w:t xml:space="preserve">syllabi</w:t>
            </w:r>
            <w:r>
              <w:rPr>
                <w:i/>
              </w:rPr>
              <w:t xml:space="preserve"> des cours</w:t>
            </w:r>
            <w:r>
              <w:rPr>
                <w:i/>
              </w:rPr>
            </w:r>
          </w:p>
        </w:tc>
        <w:tc>
          <w:tcPr>
            <w:tcBorders/>
            <w:tcW w:w="1275" w:type="dxa"/>
            <w:textDirection w:val="lrTb"/>
            <w:noWrap w:val="false"/>
          </w:tcPr>
          <w:p>
            <w:pPr>
              <w:pStyle w:val="1065"/>
              <w:pBdr/>
              <w:spacing/>
              <w:ind/>
              <w:rPr>
                <w:spacing w:val="-10"/>
              </w:rPr>
            </w:pPr>
            <w:r>
              <w:rPr>
                <w:spacing w:val="-10"/>
              </w:rPr>
              <w:t xml:space="preserve">Heures </w:t>
            </w:r>
            <w:r>
              <w:rPr>
                <w:spacing w:val="-10"/>
              </w:rPr>
            </w:r>
          </w:p>
        </w:tc>
        <w:tc>
          <w:tcPr>
            <w:tcBorders/>
            <w:tcW w:w="709" w:type="dxa"/>
            <w:textDirection w:val="lrTb"/>
            <w:noWrap w:val="false"/>
          </w:tcPr>
          <w:p>
            <w:pPr>
              <w:pStyle w:val="1065"/>
              <w:pBdr/>
              <w:spacing/>
              <w:ind/>
              <w:rPr>
                <w:spacing w:val="-10"/>
              </w:rPr>
            </w:pPr>
            <w:r>
              <w:rPr>
                <w:spacing w:val="-10"/>
              </w:rPr>
              <w:t xml:space="preserve">ECTS</w:t>
            </w:r>
            <w:r>
              <w:rPr>
                <w:spacing w:val="-10"/>
              </w:rPr>
            </w:r>
          </w:p>
        </w:tc>
      </w:tr>
      <w:tr>
        <w:trPr>
          <w:trHeight w:val="818"/>
        </w:trPr>
        <w:tc>
          <w:tcPr>
            <w:shd w:val="clear" w:color="auto" w:fill="e7e6e6" w:themeFill="background2"/>
            <w:tcBorders/>
            <w:tcW w:w="709" w:type="dxa"/>
            <w:textDirection w:val="lrTb"/>
            <w:noWrap w:val="false"/>
          </w:tcPr>
          <w:p>
            <w:pPr>
              <w:pStyle w:val="1065"/>
              <w:pBdr/>
              <w:spacing/>
              <w:ind/>
              <w:rPr>
                <w:b/>
                <w:bCs/>
              </w:rPr>
            </w:pPr>
            <w:r>
              <w:rPr>
                <w:b/>
                <w:bCs/>
              </w:rPr>
              <w:t xml:space="preserve">1.</w:t>
            </w:r>
            <w:r>
              <w:rPr>
                <w:b/>
                <w:bCs/>
              </w:rPr>
            </w:r>
          </w:p>
        </w:tc>
        <w:tc>
          <w:tcPr>
            <w:shd w:val="clear" w:color="auto" w:fill="e7e6e6" w:themeFill="background2"/>
            <w:tcBorders/>
            <w:tcW w:w="7650" w:type="dxa"/>
            <w:textDirection w:val="lrTb"/>
            <w:noWrap w:val="false"/>
          </w:tcPr>
          <w:p>
            <w:pPr>
              <w:pStyle w:val="1065"/>
              <w:pBdr/>
              <w:spacing/>
              <w:ind/>
              <w:rPr>
                <w:b/>
                <w:bCs/>
              </w:rPr>
            </w:pPr>
            <w:r/>
            <w:hyperlink w:tooltip="#_MODULE_TRANSVERSAL_:" w:anchor="_MODULE_TRANSVERSAL_:" w:history="1">
              <w:r>
                <w:rPr>
                  <w:rStyle w:val="1085"/>
                  <w:b/>
                  <w:bCs/>
                </w:rPr>
                <w:t xml:space="preserve">MODULE</w:t>
              </w:r>
              <w:r>
                <w:rPr>
                  <w:rStyle w:val="1085"/>
                  <w:b/>
                  <w:bCs/>
                  <w:spacing w:val="-10"/>
                </w:rPr>
                <w:t xml:space="preserve"> </w:t>
              </w:r>
              <w:r>
                <w:rPr>
                  <w:rStyle w:val="1085"/>
                  <w:b/>
                  <w:bCs/>
                </w:rPr>
                <w:t xml:space="preserve">TRANSVERSAL</w:t>
              </w:r>
              <w:r>
                <w:rPr>
                  <w:rStyle w:val="1085"/>
                  <w:b/>
                  <w:bCs/>
                  <w:spacing w:val="-10"/>
                </w:rPr>
                <w:t xml:space="preserve"> </w:t>
              </w:r>
              <w:r>
                <w:rPr>
                  <w:rStyle w:val="1085"/>
                  <w:b/>
                  <w:bCs/>
                </w:rPr>
                <w:t xml:space="preserve">-</w:t>
              </w:r>
              <w:r>
                <w:rPr>
                  <w:rStyle w:val="1085"/>
                  <w:b/>
                  <w:bCs/>
                  <w:spacing w:val="-10"/>
                </w:rPr>
                <w:t xml:space="preserve"> </w:t>
              </w:r>
              <w:r>
                <w:rPr>
                  <w:rStyle w:val="1085"/>
                  <w:b/>
                  <w:bCs/>
                </w:rPr>
                <w:t xml:space="preserve">ART</w:t>
              </w:r>
              <w:r>
                <w:rPr>
                  <w:rStyle w:val="1085"/>
                  <w:b/>
                  <w:bCs/>
                  <w:spacing w:val="-10"/>
                </w:rPr>
                <w:t xml:space="preserve"> </w:t>
              </w:r>
              <w:r>
                <w:rPr>
                  <w:rStyle w:val="1085"/>
                  <w:b/>
                  <w:bCs/>
                </w:rPr>
                <w:t xml:space="preserve">ET ENFANCE</w:t>
              </w:r>
            </w:hyperlink>
            <w:r/>
            <w:r>
              <w:rPr>
                <w:b/>
                <w:bCs/>
              </w:rPr>
            </w:r>
          </w:p>
          <w:p>
            <w:pPr>
              <w:pStyle w:val="1065"/>
              <w:pBdr/>
              <w:spacing/>
              <w:ind/>
              <w:rPr>
                <w:b/>
                <w:bCs/>
                <w:i/>
                <w:highlight w:val="yellow"/>
              </w:rPr>
            </w:pPr>
            <w:r>
              <w:rPr>
                <w:b/>
                <w:bCs/>
                <w:i/>
                <w:highlight w:val="yellow"/>
              </w:rPr>
            </w:r>
            <w:r>
              <w:rPr>
                <w:b/>
                <w:bCs/>
                <w:i/>
                <w:highlight w:val="yellow"/>
              </w:rPr>
            </w:r>
          </w:p>
        </w:tc>
        <w:tc>
          <w:tcPr>
            <w:shd w:val="clear" w:color="auto" w:fill="e7e6e6" w:themeFill="background2"/>
            <w:tcBorders/>
            <w:tcW w:w="1275" w:type="dxa"/>
            <w:textDirection w:val="lrTb"/>
            <w:noWrap w:val="false"/>
          </w:tcPr>
          <w:p>
            <w:pPr>
              <w:pStyle w:val="1065"/>
              <w:pBdr/>
              <w:spacing/>
              <w:ind/>
              <w:rPr>
                <w:b/>
                <w:bCs/>
                <w:spacing w:val="-10"/>
              </w:rPr>
            </w:pPr>
            <w:r>
              <w:rPr>
                <w:b/>
                <w:bCs/>
                <w:spacing w:val="-10"/>
              </w:rPr>
              <w:t xml:space="preserve">43 heures de cours</w:t>
            </w:r>
            <w:r>
              <w:rPr>
                <w:b/>
                <w:bCs/>
                <w:spacing w:val="-10"/>
              </w:rPr>
            </w:r>
          </w:p>
        </w:tc>
        <w:tc>
          <w:tcPr>
            <w:shd w:val="clear" w:color="auto" w:fill="e7e6e6" w:themeFill="background2"/>
            <w:tcBorders/>
            <w:tcW w:w="709" w:type="dxa"/>
            <w:textDirection w:val="lrTb"/>
            <w:noWrap w:val="false"/>
          </w:tcPr>
          <w:p>
            <w:pPr>
              <w:pStyle w:val="1065"/>
              <w:pBdr/>
              <w:spacing/>
              <w:ind/>
              <w:rPr>
                <w:b/>
                <w:bCs/>
              </w:rPr>
            </w:pPr>
            <w:r>
              <w:rPr>
                <w:b/>
                <w:bCs/>
                <w:spacing w:val="-10"/>
              </w:rPr>
              <w:t xml:space="preserve">3</w:t>
            </w:r>
            <w:r>
              <w:rPr>
                <w:b/>
                <w:bCs/>
              </w:rPr>
            </w:r>
          </w:p>
        </w:tc>
      </w:tr>
      <w:tr>
        <w:trPr>
          <w:trHeight w:val="283"/>
        </w:trPr>
        <w:tc>
          <w:tcPr>
            <w:tcBorders/>
            <w:tcW w:w="709" w:type="dxa"/>
            <w:textDirection w:val="lrTb"/>
            <w:noWrap w:val="false"/>
          </w:tcPr>
          <w:p>
            <w:pPr>
              <w:pStyle w:val="1065"/>
              <w:pBdr/>
              <w:spacing/>
              <w:ind/>
              <w:rPr/>
            </w:pPr>
            <w:r>
              <w:t xml:space="preserve">1.1</w:t>
            </w:r>
            <w:r/>
          </w:p>
        </w:tc>
        <w:tc>
          <w:tcPr>
            <w:tcBorders/>
            <w:tcW w:w="7650" w:type="dxa"/>
            <w:textDirection w:val="lrTb"/>
            <w:noWrap w:val="false"/>
          </w:tcPr>
          <w:p>
            <w:pPr>
              <w:pStyle w:val="1065"/>
              <w:pBdr/>
              <w:spacing/>
              <w:ind/>
              <w:rPr/>
            </w:pPr>
            <w:r/>
            <w:hyperlink w:tooltip="#_1.1._Art_et" w:anchor="_1.1._Art_et" w:history="1">
              <w:r>
                <w:rPr>
                  <w:rStyle w:val="1085"/>
                  <w:b/>
                  <w:bCs/>
                </w:rPr>
                <w:t xml:space="preserve">Art et enfance : regard historique et épistémologique</w:t>
              </w:r>
              <w:r>
                <w:rPr>
                  <w:rStyle w:val="1085"/>
                  <w:u w:val="none"/>
                </w:rPr>
                <w:tab/>
              </w:r>
            </w:hyperlink>
            <w:r/>
            <w:r/>
          </w:p>
          <w:p>
            <w:pPr>
              <w:pStyle w:val="1065"/>
              <w:pBdr/>
              <w:spacing/>
              <w:ind/>
              <w:rPr/>
            </w:pPr>
            <w:r>
              <w:t xml:space="preserve">Cécile PICHON-BONIN</w:t>
            </w:r>
            <w:r/>
          </w:p>
          <w:p>
            <w:pPr>
              <w:pStyle w:val="1065"/>
              <w:pBdr/>
              <w:spacing/>
              <w:ind/>
              <w:rPr>
                <w:iCs/>
              </w:rPr>
            </w:pPr>
            <w:r>
              <w:t xml:space="preserve">Déborah LIVET</w:t>
            </w:r>
            <w:r>
              <w:rPr>
                <w:iCs/>
              </w:rPr>
            </w:r>
          </w:p>
          <w:p>
            <w:pPr>
              <w:pStyle w:val="1065"/>
              <w:pBdr/>
              <w:spacing/>
              <w:ind/>
              <w:rPr>
                <w:bCs/>
                <w:i/>
                <w:sz w:val="20"/>
                <w:szCs w:val="20"/>
              </w:rPr>
            </w:pPr>
            <w:r>
              <w:rPr>
                <w:i/>
                <w:sz w:val="20"/>
                <w:szCs w:val="20"/>
              </w:rPr>
              <w:t xml:space="preserve">mutualisé</w:t>
            </w:r>
            <w:r>
              <w:rPr>
                <w:i/>
                <w:sz w:val="20"/>
                <w:szCs w:val="20"/>
              </w:rPr>
              <w:t xml:space="preserve"> avec le parcours de master Musique (Administration et gestion de la musique ; Re</w:t>
            </w:r>
            <w:r>
              <w:rPr>
                <w:i/>
                <w:sz w:val="20"/>
                <w:szCs w:val="20"/>
              </w:rPr>
              <w:t xml:space="preserve">cherche en musicologie)</w:t>
            </w:r>
            <w:r>
              <w:rPr>
                <w:bCs/>
                <w:i/>
                <w:sz w:val="20"/>
                <w:szCs w:val="20"/>
              </w:rPr>
            </w:r>
          </w:p>
        </w:tc>
        <w:tc>
          <w:tcPr>
            <w:tcBorders/>
            <w:tcW w:w="1275" w:type="dxa"/>
            <w:textDirection w:val="lrTb"/>
            <w:noWrap w:val="false"/>
          </w:tcPr>
          <w:p>
            <w:pPr>
              <w:pStyle w:val="1065"/>
              <w:pBdr/>
              <w:spacing/>
              <w:ind/>
              <w:rPr/>
            </w:pPr>
            <w:r>
              <w:t xml:space="preserve">3 CM</w:t>
            </w:r>
            <w:r>
              <w:br/>
              <w:t xml:space="preserve">10 TD</w:t>
            </w:r>
            <w:r/>
          </w:p>
        </w:tc>
        <w:tc>
          <w:tcPr>
            <w:tcBorders/>
            <w:tcW w:w="709" w:type="dxa"/>
            <w:textDirection w:val="lrTb"/>
            <w:noWrap w:val="false"/>
          </w:tcPr>
          <w:p>
            <w:pPr>
              <w:pStyle w:val="1065"/>
              <w:pBdr/>
              <w:spacing/>
              <w:ind/>
              <w:rPr/>
            </w:pPr>
            <w:r>
              <w:t xml:space="preserve"> </w:t>
            </w:r>
            <w:r/>
          </w:p>
        </w:tc>
      </w:tr>
      <w:tr>
        <w:trPr>
          <w:trHeight w:val="283"/>
        </w:trPr>
        <w:tc>
          <w:tcPr>
            <w:tcBorders/>
            <w:tcW w:w="709" w:type="dxa"/>
            <w:textDirection w:val="lrTb"/>
            <w:noWrap w:val="false"/>
          </w:tcPr>
          <w:p>
            <w:pPr>
              <w:pStyle w:val="1065"/>
              <w:pBdr/>
              <w:spacing/>
              <w:ind/>
              <w:rPr/>
            </w:pPr>
            <w:r>
              <w:t xml:space="preserve">1.2.</w:t>
            </w:r>
            <w:r/>
          </w:p>
        </w:tc>
        <w:tc>
          <w:tcPr>
            <w:tcBorders/>
            <w:tcW w:w="7650" w:type="dxa"/>
            <w:textDirection w:val="lrTb"/>
            <w:noWrap w:val="false"/>
          </w:tcPr>
          <w:p>
            <w:pPr>
              <w:pStyle w:val="1065"/>
              <w:pBdr/>
              <w:spacing/>
              <w:ind/>
              <w:rPr>
                <w:b/>
                <w:bCs/>
              </w:rPr>
            </w:pPr>
            <w:r/>
            <w:hyperlink w:tooltip="#_1.2._Interculturalité_et" w:anchor="_1.2._Interculturalité_et" w:history="1">
              <w:r>
                <w:rPr>
                  <w:rStyle w:val="1085"/>
                  <w:b/>
                  <w:bCs/>
                </w:rPr>
                <w:t xml:space="preserve">Interculturalité et inclusion</w:t>
              </w:r>
            </w:hyperlink>
            <w:r/>
            <w:r>
              <w:rPr>
                <w:b/>
                <w:bCs/>
              </w:rPr>
            </w:r>
          </w:p>
          <w:p>
            <w:pPr>
              <w:pStyle w:val="1065"/>
              <w:pBdr/>
              <w:spacing/>
              <w:ind/>
              <w:rPr/>
            </w:pPr>
            <w:r>
              <w:t xml:space="preserve">Arihana</w:t>
            </w:r>
            <w:r>
              <w:t xml:space="preserve"> VILLAMIL</w:t>
            </w:r>
            <w:r/>
          </w:p>
          <w:p>
            <w:pPr>
              <w:pStyle w:val="1065"/>
              <w:pBdr/>
              <w:spacing/>
              <w:ind/>
              <w:rPr/>
            </w:pPr>
            <w:r>
              <w:t xml:space="preserve">Emmanuelle LEFEBVRE</w:t>
            </w:r>
            <w:r/>
          </w:p>
          <w:p>
            <w:pPr>
              <w:pStyle w:val="1065"/>
              <w:pBdr/>
              <w:spacing/>
              <w:ind/>
              <w:rPr>
                <w:b/>
                <w:bCs/>
              </w:rPr>
            </w:pPr>
            <w:r>
              <w:rPr>
                <w:i/>
                <w:sz w:val="20"/>
                <w:szCs w:val="20"/>
              </w:rPr>
              <w:t xml:space="preserve">mutualisé</w:t>
            </w:r>
            <w:r>
              <w:rPr>
                <w:i/>
                <w:sz w:val="20"/>
                <w:szCs w:val="20"/>
              </w:rPr>
              <w:t xml:space="preserve"> avec le parcours de master</w:t>
            </w:r>
            <w:r>
              <w:rPr>
                <w:i/>
                <w:sz w:val="20"/>
                <w:szCs w:val="20"/>
              </w:rPr>
              <w:t xml:space="preserve"> Musique (Administration et gestion de la musique ; Recherche en musicologie)</w:t>
            </w:r>
            <w:r>
              <w:rPr>
                <w:b/>
                <w:bCs/>
              </w:rPr>
            </w:r>
          </w:p>
        </w:tc>
        <w:tc>
          <w:tcPr>
            <w:tcBorders/>
            <w:tcW w:w="1275" w:type="dxa"/>
            <w:textDirection w:val="lrTb"/>
            <w:noWrap w:val="false"/>
          </w:tcPr>
          <w:p>
            <w:pPr>
              <w:pStyle w:val="1065"/>
              <w:pBdr/>
              <w:spacing/>
              <w:ind/>
              <w:rPr/>
            </w:pPr>
            <w:r>
              <w:t xml:space="preserve">2 CM</w:t>
            </w:r>
            <w:r>
              <w:br/>
              <w:t xml:space="preserve">10 TD</w:t>
            </w:r>
            <w:r/>
          </w:p>
        </w:tc>
        <w:tc>
          <w:tcPr>
            <w:tcBorders/>
            <w:tcW w:w="709" w:type="dxa"/>
            <w:textDirection w:val="lrTb"/>
            <w:noWrap w:val="false"/>
          </w:tcPr>
          <w:p>
            <w:pPr>
              <w:pStyle w:val="1065"/>
              <w:pBdr/>
              <w:spacing/>
              <w:ind/>
              <w:rPr/>
            </w:pPr>
            <w:r/>
            <w:r/>
          </w:p>
        </w:tc>
      </w:tr>
      <w:tr>
        <w:trPr>
          <w:trHeight w:val="278"/>
        </w:trPr>
        <w:tc>
          <w:tcPr>
            <w:tcBorders/>
            <w:tcW w:w="709" w:type="dxa"/>
            <w:textDirection w:val="lrTb"/>
            <w:noWrap w:val="false"/>
          </w:tcPr>
          <w:p>
            <w:pPr>
              <w:pStyle w:val="1065"/>
              <w:pBdr/>
              <w:spacing/>
              <w:ind/>
              <w:rPr/>
            </w:pPr>
            <w:r>
              <w:t xml:space="preserve">1.3.</w:t>
            </w:r>
            <w:r/>
          </w:p>
        </w:tc>
        <w:tc>
          <w:tcPr>
            <w:tcBorders/>
            <w:tcW w:w="7650" w:type="dxa"/>
            <w:textDirection w:val="lrTb"/>
            <w:noWrap w:val="false"/>
          </w:tcPr>
          <w:p>
            <w:pPr>
              <w:pStyle w:val="1065"/>
              <w:pBdr/>
              <w:spacing/>
              <w:ind/>
              <w:rPr/>
            </w:pPr>
            <w:r/>
            <w:hyperlink w:tooltip="#_1.3._Connaissance_des" w:anchor="_1.3._Connaissance_des" w:history="1">
              <w:r>
                <w:rPr>
                  <w:rStyle w:val="1085"/>
                  <w:b/>
                  <w:bCs/>
                </w:rPr>
                <w:t xml:space="preserve">Connaissance des publics</w:t>
              </w:r>
            </w:hyperlink>
            <w:r>
              <w:rPr>
                <w:b/>
                <w:bCs/>
              </w:rPr>
              <w:t xml:space="preserve"> </w:t>
            </w:r>
            <w:r>
              <w:t xml:space="preserve">(cours facultatif)</w:t>
            </w:r>
            <w:r/>
          </w:p>
          <w:p>
            <w:pPr>
              <w:pStyle w:val="1065"/>
              <w:pBdr/>
              <w:spacing/>
              <w:ind/>
              <w:rPr/>
            </w:pPr>
            <w:r>
              <w:t xml:space="preserve">Juliette MORAIN</w:t>
            </w:r>
            <w:r/>
          </w:p>
          <w:p>
            <w:pPr>
              <w:pStyle w:val="1065"/>
              <w:pBdr/>
              <w:spacing/>
              <w:ind/>
              <w:rPr/>
            </w:pPr>
            <w:r>
              <w:t xml:space="preserve">Agnès SOUBEYRAND</w:t>
            </w:r>
            <w:r/>
          </w:p>
          <w:p>
            <w:pPr>
              <w:pStyle w:val="1065"/>
              <w:pBdr/>
              <w:spacing/>
              <w:ind/>
              <w:rPr/>
            </w:pPr>
            <w:r>
              <w:t xml:space="preserve">Céline SOUTI</w:t>
            </w:r>
            <w:r>
              <w:t xml:space="preserve">F</w:t>
            </w:r>
            <w:r/>
          </w:p>
          <w:p>
            <w:pPr>
              <w:pStyle w:val="1065"/>
              <w:pBdr/>
              <w:spacing/>
              <w:ind/>
              <w:rPr>
                <w:bCs/>
                <w:i/>
                <w:sz w:val="20"/>
                <w:szCs w:val="20"/>
              </w:rPr>
            </w:pPr>
            <w:r>
              <w:rPr>
                <w:i/>
                <w:sz w:val="20"/>
                <w:szCs w:val="20"/>
              </w:rPr>
              <w:t xml:space="preserve">mutualisé</w:t>
            </w:r>
            <w:r>
              <w:rPr>
                <w:i/>
                <w:sz w:val="20"/>
                <w:szCs w:val="20"/>
              </w:rPr>
              <w:t xml:space="preserve"> avec le Master Histoire, civilisations, patrimoine </w:t>
            </w:r>
            <w:r>
              <w:rPr>
                <w:bCs/>
                <w:i/>
                <w:sz w:val="20"/>
                <w:szCs w:val="20"/>
              </w:rPr>
            </w:r>
          </w:p>
        </w:tc>
        <w:tc>
          <w:tcPr>
            <w:tcBorders/>
            <w:tcW w:w="1275" w:type="dxa"/>
            <w:textDirection w:val="lrTb"/>
            <w:noWrap w:val="false"/>
          </w:tcPr>
          <w:p>
            <w:pPr>
              <w:pStyle w:val="1065"/>
              <w:pBdr/>
              <w:spacing/>
              <w:ind/>
              <w:rPr/>
            </w:pPr>
            <w:r>
              <w:t xml:space="preserve">12 CM</w:t>
            </w:r>
            <w:r/>
          </w:p>
        </w:tc>
        <w:tc>
          <w:tcPr>
            <w:tcBorders/>
            <w:tcW w:w="709" w:type="dxa"/>
            <w:textDirection w:val="lrTb"/>
            <w:noWrap w:val="false"/>
          </w:tcPr>
          <w:p>
            <w:pPr>
              <w:pStyle w:val="1065"/>
              <w:pBdr/>
              <w:spacing/>
              <w:ind/>
              <w:rPr/>
            </w:pPr>
            <w:r>
              <w:t xml:space="preserve"> </w:t>
            </w:r>
            <w:r/>
          </w:p>
        </w:tc>
      </w:tr>
      <w:tr>
        <w:trPr>
          <w:trHeight w:val="278"/>
        </w:trPr>
        <w:tc>
          <w:tcPr>
            <w:tcBorders/>
            <w:tcW w:w="709" w:type="dxa"/>
            <w:textDirection w:val="lrTb"/>
            <w:noWrap w:val="false"/>
          </w:tcPr>
          <w:p>
            <w:pPr>
              <w:pStyle w:val="1065"/>
              <w:pBdr/>
              <w:spacing/>
              <w:ind/>
              <w:rPr/>
            </w:pPr>
            <w:r>
              <w:t xml:space="preserve">1.4.</w:t>
            </w:r>
            <w:r/>
          </w:p>
        </w:tc>
        <w:tc>
          <w:tcPr>
            <w:tcBorders/>
            <w:tcW w:w="7650" w:type="dxa"/>
            <w:textDirection w:val="lrTb"/>
            <w:noWrap w:val="false"/>
          </w:tcPr>
          <w:p>
            <w:pPr>
              <w:pStyle w:val="1065"/>
              <w:pBdr/>
              <w:spacing/>
              <w:ind/>
              <w:rPr>
                <w:b/>
                <w:bCs/>
              </w:rPr>
            </w:pPr>
            <w:r/>
            <w:hyperlink w:tooltip="#_1.4._Enjeux_et" w:anchor="_1.4._Enjeux_et" w:history="1">
              <w:r>
                <w:rPr>
                  <w:rStyle w:val="1085"/>
                  <w:b/>
                  <w:bCs/>
                </w:rPr>
                <w:t xml:space="preserve">Enjeux et objectifs de l'Éducation Artistique et Culturelle</w:t>
              </w:r>
            </w:hyperlink>
            <w:r/>
            <w:r>
              <w:rPr>
                <w:b/>
                <w:bCs/>
              </w:rPr>
            </w:r>
          </w:p>
          <w:p>
            <w:pPr>
              <w:pStyle w:val="1065"/>
              <w:pBdr/>
              <w:spacing/>
              <w:ind/>
              <w:rPr/>
            </w:pPr>
            <w:r>
              <w:t xml:space="preserve">Camille SOLER</w:t>
            </w:r>
            <w:r/>
          </w:p>
          <w:p>
            <w:pPr>
              <w:pStyle w:val="1065"/>
              <w:pBdr/>
              <w:spacing/>
              <w:ind/>
              <w:rPr>
                <w:sz w:val="20"/>
                <w:szCs w:val="20"/>
              </w:rPr>
            </w:pPr>
            <w:r>
              <w:rPr>
                <w:i/>
                <w:iCs/>
                <w:sz w:val="20"/>
                <w:szCs w:val="20"/>
              </w:rPr>
              <w:t xml:space="preserve">dédié</w:t>
            </w:r>
            <w:r>
              <w:rPr>
                <w:i/>
                <w:iCs/>
                <w:sz w:val="20"/>
                <w:szCs w:val="20"/>
              </w:rPr>
              <w:t xml:space="preserve"> uniquement aux étudiant.es inscrit.e</w:t>
            </w:r>
            <w:r>
              <w:rPr>
                <w:i/>
                <w:iCs/>
                <w:sz w:val="20"/>
                <w:szCs w:val="20"/>
              </w:rPr>
              <w:t xml:space="preserve">s dans le DU</w:t>
            </w:r>
            <w:r>
              <w:rPr>
                <w:sz w:val="20"/>
                <w:szCs w:val="20"/>
              </w:rPr>
            </w:r>
          </w:p>
        </w:tc>
        <w:tc>
          <w:tcPr>
            <w:tcBorders/>
            <w:tcW w:w="1275" w:type="dxa"/>
            <w:textDirection w:val="lrTb"/>
            <w:noWrap w:val="false"/>
          </w:tcPr>
          <w:p>
            <w:pPr>
              <w:pStyle w:val="1065"/>
              <w:pBdr/>
              <w:spacing/>
              <w:ind/>
              <w:rPr/>
            </w:pPr>
            <w:r>
              <w:t xml:space="preserve">1,5 CM</w:t>
            </w:r>
            <w:r>
              <w:br/>
              <w:t xml:space="preserve">1,5TD</w:t>
            </w:r>
            <w:r/>
          </w:p>
        </w:tc>
        <w:tc>
          <w:tcPr>
            <w:tcBorders/>
            <w:tcW w:w="709" w:type="dxa"/>
            <w:textDirection w:val="lrTb"/>
            <w:noWrap w:val="false"/>
          </w:tcPr>
          <w:p>
            <w:pPr>
              <w:pStyle w:val="1065"/>
              <w:pBdr/>
              <w:spacing/>
              <w:ind/>
              <w:rPr/>
            </w:pPr>
            <w:r>
              <w:t xml:space="preserve"> </w:t>
            </w:r>
            <w:r/>
          </w:p>
        </w:tc>
      </w:tr>
      <w:tr>
        <w:trPr>
          <w:trHeight w:val="278"/>
        </w:trPr>
        <w:tc>
          <w:tcPr>
            <w:tcBorders/>
            <w:tcW w:w="709" w:type="dxa"/>
            <w:textDirection w:val="lrTb"/>
            <w:noWrap w:val="false"/>
          </w:tcPr>
          <w:p>
            <w:pPr>
              <w:pStyle w:val="1065"/>
              <w:pBdr/>
              <w:spacing/>
              <w:ind/>
              <w:rPr/>
            </w:pPr>
            <w:r>
              <w:t xml:space="preserve">1.5.</w:t>
            </w:r>
            <w:r/>
          </w:p>
        </w:tc>
        <w:tc>
          <w:tcPr>
            <w:tcBorders/>
            <w:tcW w:w="7650" w:type="dxa"/>
            <w:textDirection w:val="lrTb"/>
            <w:noWrap w:val="false"/>
          </w:tcPr>
          <w:p>
            <w:pPr>
              <w:pStyle w:val="1065"/>
              <w:pBdr/>
              <w:spacing/>
              <w:ind/>
              <w:rPr>
                <w:b/>
                <w:bCs/>
              </w:rPr>
            </w:pPr>
            <w:r/>
            <w:hyperlink w:tooltip="#_1.5._Politiques_publiques" w:anchor="_1.5._Politiques_publiques" w:history="1">
              <w:r>
                <w:rPr>
                  <w:rStyle w:val="1085"/>
                  <w:b/>
                  <w:bCs/>
                </w:rPr>
                <w:t xml:space="preserve">Politique publiques éducatives</w:t>
              </w:r>
            </w:hyperlink>
            <w:r/>
            <w:r>
              <w:rPr>
                <w:b/>
                <w:bCs/>
              </w:rPr>
            </w:r>
          </w:p>
          <w:p>
            <w:pPr>
              <w:pStyle w:val="1065"/>
              <w:pBdr/>
              <w:spacing/>
              <w:ind/>
              <w:rPr/>
            </w:pPr>
            <w:r>
              <w:t xml:space="preserve">Joris CINTERO</w:t>
            </w:r>
            <w:r/>
          </w:p>
          <w:p>
            <w:pPr>
              <w:pStyle w:val="1065"/>
              <w:pBdr/>
              <w:spacing/>
              <w:ind/>
              <w:rPr>
                <w:sz w:val="20"/>
                <w:szCs w:val="20"/>
              </w:rPr>
            </w:pPr>
            <w:r>
              <w:rPr>
                <w:i/>
                <w:iCs/>
                <w:sz w:val="20"/>
                <w:szCs w:val="20"/>
              </w:rPr>
              <w:t xml:space="preserve">dédié</w:t>
            </w:r>
            <w:r>
              <w:rPr>
                <w:i/>
                <w:iCs/>
                <w:sz w:val="20"/>
                <w:szCs w:val="20"/>
              </w:rPr>
              <w:t xml:space="preserve"> uniquement aux étudiant.es inscrit.es dans le DU</w:t>
            </w:r>
            <w:r>
              <w:rPr>
                <w:sz w:val="20"/>
                <w:szCs w:val="20"/>
              </w:rPr>
            </w:r>
          </w:p>
        </w:tc>
        <w:tc>
          <w:tcPr>
            <w:tcBorders/>
            <w:tcW w:w="1275" w:type="dxa"/>
            <w:textDirection w:val="lrTb"/>
            <w:noWrap w:val="false"/>
          </w:tcPr>
          <w:p>
            <w:pPr>
              <w:pStyle w:val="1065"/>
              <w:pBdr/>
              <w:spacing/>
              <w:ind/>
              <w:rPr/>
            </w:pPr>
            <w:r>
              <w:t xml:space="preserve">1,5 CM</w:t>
            </w:r>
            <w:r>
              <w:br/>
              <w:t xml:space="preserve">1,5TD</w:t>
            </w:r>
            <w:r/>
          </w:p>
        </w:tc>
        <w:tc>
          <w:tcPr>
            <w:tcBorders/>
            <w:tcW w:w="709" w:type="dxa"/>
            <w:textDirection w:val="lrTb"/>
            <w:noWrap w:val="false"/>
          </w:tcPr>
          <w:p>
            <w:pPr>
              <w:pStyle w:val="1065"/>
              <w:pBdr/>
              <w:spacing/>
              <w:ind/>
              <w:rPr/>
            </w:pPr>
            <w:r>
              <w:t xml:space="preserve"> </w:t>
            </w:r>
            <w:r/>
          </w:p>
        </w:tc>
      </w:tr>
      <w:tr>
        <w:trPr>
          <w:trHeight w:val="606"/>
        </w:trPr>
        <w:tc>
          <w:tcPr>
            <w:shd w:val="clear" w:color="auto" w:fill="e7e6e6" w:themeFill="background2"/>
            <w:tcBorders/>
            <w:tcW w:w="709" w:type="dxa"/>
            <w:textDirection w:val="lrTb"/>
            <w:noWrap w:val="false"/>
          </w:tcPr>
          <w:p>
            <w:pPr>
              <w:pStyle w:val="1065"/>
              <w:pBdr/>
              <w:spacing/>
              <w:ind/>
              <w:rPr>
                <w:b/>
              </w:rPr>
            </w:pPr>
            <w:r>
              <w:rPr>
                <w:b/>
              </w:rPr>
              <w:t xml:space="preserve">2.</w:t>
            </w:r>
            <w:r>
              <w:rPr>
                <w:b/>
              </w:rPr>
            </w:r>
          </w:p>
        </w:tc>
        <w:tc>
          <w:tcPr>
            <w:shd w:val="clear" w:color="auto" w:fill="e7e6e6" w:themeFill="background2"/>
            <w:tcBorders/>
            <w:tcW w:w="7650" w:type="dxa"/>
            <w:textDirection w:val="lrTb"/>
            <w:noWrap w:val="false"/>
          </w:tcPr>
          <w:p>
            <w:pPr>
              <w:pStyle w:val="1065"/>
              <w:pBdr/>
              <w:spacing/>
              <w:ind/>
              <w:rPr>
                <w:b/>
                <w:bCs/>
              </w:rPr>
            </w:pPr>
            <w:r/>
            <w:hyperlink w:tooltip="#_MODULE_PRATIQUE_:" w:anchor="_MODULE_PRATIQUE_:" w:history="1">
              <w:r>
                <w:rPr>
                  <w:rStyle w:val="1085"/>
                  <w:b/>
                </w:rPr>
                <w:t xml:space="preserve">MODULE</w:t>
              </w:r>
              <w:r>
                <w:rPr>
                  <w:rStyle w:val="1085"/>
                  <w:b/>
                  <w:spacing w:val="-10"/>
                </w:rPr>
                <w:t xml:space="preserve"> </w:t>
              </w:r>
              <w:r>
                <w:rPr>
                  <w:rStyle w:val="1085"/>
                  <w:b/>
                </w:rPr>
                <w:t xml:space="preserve">PRATIQUE</w:t>
              </w:r>
              <w:r>
                <w:rPr>
                  <w:rStyle w:val="1085"/>
                  <w:b/>
                  <w:spacing w:val="-10"/>
                </w:rPr>
                <w:t xml:space="preserve"> </w:t>
              </w:r>
              <w:r>
                <w:rPr>
                  <w:rStyle w:val="1085"/>
                  <w:b/>
                </w:rPr>
                <w:t xml:space="preserve">:</w:t>
              </w:r>
              <w:r>
                <w:rPr>
                  <w:rStyle w:val="1085"/>
                  <w:b/>
                  <w:spacing w:val="-10"/>
                </w:rPr>
                <w:t xml:space="preserve"> </w:t>
              </w:r>
              <w:r>
                <w:rPr>
                  <w:rStyle w:val="1085"/>
                  <w:b/>
                </w:rPr>
                <w:t xml:space="preserve">TERRAINS</w:t>
              </w:r>
              <w:r>
                <w:rPr>
                  <w:rStyle w:val="1085"/>
                  <w:b/>
                  <w:spacing w:val="-10"/>
                </w:rPr>
                <w:t xml:space="preserve"> </w:t>
              </w:r>
              <w:r>
                <w:rPr>
                  <w:rStyle w:val="1085"/>
                  <w:b/>
                </w:rPr>
                <w:t xml:space="preserve">ET CR</w:t>
              </w:r>
              <w:r>
                <w:rPr>
                  <w:rStyle w:val="1085"/>
                  <w:b/>
                  <w:bCs/>
                </w:rPr>
                <w:t xml:space="preserve">É</w:t>
              </w:r>
              <w:r>
                <w:rPr>
                  <w:rStyle w:val="1085"/>
                  <w:b/>
                </w:rPr>
                <w:t xml:space="preserve">ATION</w:t>
              </w:r>
            </w:hyperlink>
            <w:r/>
            <w:r>
              <w:rPr>
                <w:b/>
                <w:bCs/>
              </w:rPr>
            </w:r>
          </w:p>
          <w:p>
            <w:pPr>
              <w:pStyle w:val="1065"/>
              <w:pBdr/>
              <w:spacing/>
              <w:ind/>
              <w:rPr>
                <w:b/>
                <w:bCs/>
              </w:rPr>
            </w:pPr>
            <w:r>
              <w:rPr>
                <w:b/>
                <w:bCs/>
              </w:rPr>
            </w:r>
            <w:r>
              <w:rPr>
                <w:b/>
                <w:bCs/>
              </w:rPr>
            </w:r>
          </w:p>
        </w:tc>
        <w:tc>
          <w:tcPr>
            <w:shd w:val="clear" w:color="auto" w:fill="e7e6e6" w:themeFill="background2"/>
            <w:tcBorders/>
            <w:tcW w:w="1275" w:type="dxa"/>
            <w:textDirection w:val="lrTb"/>
            <w:noWrap w:val="false"/>
          </w:tcPr>
          <w:p>
            <w:pPr>
              <w:pStyle w:val="1065"/>
              <w:pBdr/>
              <w:spacing/>
              <w:ind/>
              <w:rPr>
                <w:b/>
                <w:spacing w:val="-10"/>
              </w:rPr>
            </w:pPr>
            <w:r>
              <w:rPr>
                <w:b/>
                <w:spacing w:val="-10"/>
              </w:rPr>
              <w:t xml:space="preserve">23 heures de cours</w:t>
            </w:r>
            <w:r>
              <w:rPr>
                <w:b/>
                <w:spacing w:val="-10"/>
              </w:rPr>
            </w:r>
          </w:p>
        </w:tc>
        <w:tc>
          <w:tcPr>
            <w:shd w:val="clear" w:color="auto" w:fill="e7e6e6" w:themeFill="background2"/>
            <w:tcBorders/>
            <w:tcW w:w="709" w:type="dxa"/>
            <w:textDirection w:val="lrTb"/>
            <w:noWrap w:val="false"/>
          </w:tcPr>
          <w:p>
            <w:pPr>
              <w:pStyle w:val="1065"/>
              <w:pBdr/>
              <w:spacing/>
              <w:ind/>
              <w:rPr>
                <w:b/>
              </w:rPr>
            </w:pPr>
            <w:r>
              <w:rPr>
                <w:b/>
                <w:spacing w:val="-10"/>
              </w:rPr>
              <w:t xml:space="preserve">2</w:t>
            </w:r>
            <w:r>
              <w:rPr>
                <w:b/>
              </w:rPr>
            </w:r>
          </w:p>
        </w:tc>
      </w:tr>
      <w:tr>
        <w:trPr>
          <w:trHeight w:val="606"/>
        </w:trPr>
        <w:tc>
          <w:tcPr>
            <w:shd w:val="clear" w:color="auto" w:fill="auto"/>
            <w:tcBorders/>
            <w:tcW w:w="709" w:type="dxa"/>
            <w:textDirection w:val="lrTb"/>
            <w:noWrap w:val="false"/>
          </w:tcPr>
          <w:p>
            <w:pPr>
              <w:pStyle w:val="1065"/>
              <w:pBdr/>
              <w:spacing/>
              <w:ind/>
              <w:rPr/>
            </w:pPr>
            <w:r>
              <w:t xml:space="preserve">2.1.</w:t>
            </w:r>
            <w:r/>
          </w:p>
        </w:tc>
        <w:tc>
          <w:tcPr>
            <w:shd w:val="clear" w:color="auto" w:fill="auto"/>
            <w:tcBorders/>
            <w:tcW w:w="7650" w:type="dxa"/>
            <w:textDirection w:val="lrTb"/>
            <w:noWrap w:val="false"/>
          </w:tcPr>
          <w:p>
            <w:pPr>
              <w:pStyle w:val="1065"/>
              <w:pBdr/>
              <w:spacing/>
              <w:ind/>
              <w:rPr>
                <w:b/>
                <w:bCs/>
              </w:rPr>
            </w:pPr>
            <w:r/>
            <w:hyperlink w:tooltip="#_2.1._Journée_d’intégration" w:anchor="_2.1._Journée_d’intégration" w:history="1">
              <w:r>
                <w:rPr>
                  <w:rStyle w:val="1085"/>
                  <w:b/>
                  <w:bCs/>
                </w:rPr>
                <w:t xml:space="preserve">Journée d'intégration dans les institutions culturelles</w:t>
              </w:r>
            </w:hyperlink>
            <w:r/>
            <w:r>
              <w:rPr>
                <w:b/>
                <w:bCs/>
              </w:rPr>
            </w:r>
          </w:p>
          <w:p>
            <w:pPr>
              <w:pStyle w:val="1065"/>
              <w:pBdr/>
              <w:spacing/>
              <w:ind/>
              <w:rPr/>
            </w:pPr>
            <w:r>
              <w:t xml:space="preserve">Partenaires Institut ARTS</w:t>
            </w:r>
            <w:r/>
          </w:p>
          <w:p>
            <w:pPr>
              <w:pStyle w:val="1065"/>
              <w:pBdr/>
              <w:spacing/>
              <w:ind/>
              <w:rPr>
                <w:b/>
              </w:rPr>
            </w:pPr>
            <w:r>
              <w:rPr>
                <w:i/>
                <w:iCs/>
                <w:sz w:val="20"/>
                <w:szCs w:val="20"/>
              </w:rPr>
              <w:t xml:space="preserve">dédié</w:t>
            </w:r>
            <w:r>
              <w:rPr>
                <w:i/>
                <w:iCs/>
                <w:sz w:val="20"/>
                <w:szCs w:val="20"/>
              </w:rPr>
              <w:t xml:space="preserve"> uniquement aux étudiant.es inscrit.es dans le DU</w:t>
            </w:r>
            <w:r>
              <w:rPr>
                <w:b/>
              </w:rPr>
            </w:r>
          </w:p>
        </w:tc>
        <w:tc>
          <w:tcPr>
            <w:shd w:val="clear" w:color="auto" w:fill="auto"/>
            <w:tcBorders/>
            <w:tcW w:w="1275" w:type="dxa"/>
            <w:textDirection w:val="lrTb"/>
            <w:noWrap w:val="false"/>
          </w:tcPr>
          <w:p>
            <w:pPr>
              <w:pStyle w:val="1065"/>
              <w:pBdr/>
              <w:spacing/>
              <w:ind/>
              <w:rPr/>
            </w:pPr>
            <w:r>
              <w:t xml:space="preserve">6 TD</w:t>
            </w:r>
            <w:r/>
          </w:p>
        </w:tc>
        <w:tc>
          <w:tcPr>
            <w:shd w:val="clear" w:color="auto" w:fill="auto"/>
            <w:tcBorders/>
            <w:tcW w:w="709" w:type="dxa"/>
            <w:textDirection w:val="lrTb"/>
            <w:noWrap w:val="false"/>
          </w:tcPr>
          <w:p>
            <w:pPr>
              <w:pStyle w:val="1065"/>
              <w:pBdr/>
              <w:spacing/>
              <w:ind/>
              <w:rPr>
                <w:b/>
                <w:spacing w:val="-10"/>
              </w:rPr>
            </w:pPr>
            <w:r>
              <w:rPr>
                <w:b/>
                <w:spacing w:val="-10"/>
              </w:rPr>
            </w:r>
            <w:r>
              <w:rPr>
                <w:b/>
                <w:spacing w:val="-10"/>
              </w:rPr>
            </w:r>
          </w:p>
        </w:tc>
      </w:tr>
      <w:tr>
        <w:trPr>
          <w:trHeight w:val="606"/>
        </w:trPr>
        <w:tc>
          <w:tcPr>
            <w:shd w:val="clear" w:color="auto" w:fill="auto"/>
            <w:tcBorders/>
            <w:tcW w:w="709" w:type="dxa"/>
            <w:textDirection w:val="lrTb"/>
            <w:noWrap w:val="false"/>
          </w:tcPr>
          <w:p>
            <w:pPr>
              <w:pStyle w:val="1065"/>
              <w:pBdr/>
              <w:spacing/>
              <w:ind/>
              <w:rPr/>
            </w:pPr>
            <w:r>
              <w:t xml:space="preserve">2.2.</w:t>
            </w:r>
            <w:r/>
          </w:p>
        </w:tc>
        <w:tc>
          <w:tcPr>
            <w:shd w:val="clear" w:color="auto" w:fill="auto"/>
            <w:tcBorders/>
            <w:tcW w:w="7650" w:type="dxa"/>
            <w:textDirection w:val="lrTb"/>
            <w:noWrap w:val="false"/>
          </w:tcPr>
          <w:p>
            <w:pPr>
              <w:pStyle w:val="1065"/>
              <w:pBdr/>
              <w:spacing/>
              <w:ind/>
              <w:rPr>
                <w:b/>
                <w:bCs/>
              </w:rPr>
            </w:pPr>
            <w:r/>
            <w:hyperlink w:tooltip="#_2.2._Temps_d’immersion" w:anchor="_2.2._Temps_d’immersion" w:history="1">
              <w:r>
                <w:rPr>
                  <w:rStyle w:val="1085"/>
                  <w:b/>
                  <w:bCs/>
                </w:rPr>
                <w:t xml:space="preserve">Temps d'immersion à l'École de l'oralité</w:t>
              </w:r>
            </w:hyperlink>
            <w:r/>
            <w:r>
              <w:rPr>
                <w:b/>
                <w:bCs/>
              </w:rPr>
            </w:r>
          </w:p>
          <w:p>
            <w:pPr>
              <w:pStyle w:val="1065"/>
              <w:pBdr/>
              <w:spacing/>
              <w:ind/>
              <w:rPr/>
            </w:pPr>
            <w:r>
              <w:t xml:space="preserve">Emmanuel BARDON + équipe École de l’oralité</w:t>
            </w:r>
            <w:r/>
          </w:p>
          <w:p>
            <w:pPr>
              <w:pStyle w:val="1065"/>
              <w:pBdr/>
              <w:spacing/>
              <w:ind/>
              <w:rPr>
                <w:b/>
                <w:bCs/>
              </w:rPr>
            </w:pPr>
            <w:r>
              <w:rPr>
                <w:i/>
                <w:iCs/>
                <w:sz w:val="20"/>
                <w:szCs w:val="20"/>
              </w:rPr>
              <w:t xml:space="preserve">dédié</w:t>
            </w:r>
            <w:r>
              <w:rPr>
                <w:i/>
                <w:iCs/>
                <w:sz w:val="20"/>
                <w:szCs w:val="20"/>
              </w:rPr>
              <w:t xml:space="preserve"> uniquement aux étudiant.es inscrit.es dans le DU</w:t>
            </w:r>
            <w:r>
              <w:rPr>
                <w:b/>
                <w:bCs/>
              </w:rPr>
            </w:r>
          </w:p>
        </w:tc>
        <w:tc>
          <w:tcPr>
            <w:shd w:val="clear" w:color="auto" w:fill="auto"/>
            <w:tcBorders/>
            <w:tcW w:w="1275" w:type="dxa"/>
            <w:textDirection w:val="lrTb"/>
            <w:noWrap w:val="false"/>
          </w:tcPr>
          <w:p>
            <w:pPr>
              <w:pStyle w:val="1065"/>
              <w:pBdr/>
              <w:spacing/>
              <w:ind/>
              <w:rPr/>
            </w:pPr>
            <w:r>
              <w:t xml:space="preserve">6 TD</w:t>
            </w:r>
            <w:r/>
          </w:p>
        </w:tc>
        <w:tc>
          <w:tcPr>
            <w:shd w:val="clear" w:color="auto" w:fill="auto"/>
            <w:tcBorders/>
            <w:tcW w:w="709" w:type="dxa"/>
            <w:textDirection w:val="lrTb"/>
            <w:noWrap w:val="false"/>
          </w:tcPr>
          <w:p>
            <w:pPr>
              <w:pStyle w:val="1065"/>
              <w:pBdr/>
              <w:spacing/>
              <w:ind/>
              <w:rPr>
                <w:b/>
                <w:spacing w:val="-10"/>
              </w:rPr>
            </w:pPr>
            <w:r>
              <w:rPr>
                <w:b/>
                <w:spacing w:val="-10"/>
              </w:rPr>
            </w:r>
            <w:r>
              <w:rPr>
                <w:b/>
                <w:spacing w:val="-10"/>
              </w:rPr>
            </w:r>
          </w:p>
        </w:tc>
      </w:tr>
      <w:tr>
        <w:trPr>
          <w:trHeight w:val="283"/>
        </w:trPr>
        <w:tc>
          <w:tcPr>
            <w:tcBorders/>
            <w:tcW w:w="709" w:type="dxa"/>
            <w:textDirection w:val="lrTb"/>
            <w:noWrap w:val="false"/>
          </w:tcPr>
          <w:p>
            <w:pPr>
              <w:pStyle w:val="1065"/>
              <w:pBdr/>
              <w:spacing/>
              <w:ind/>
              <w:rPr/>
            </w:pPr>
            <w:r>
              <w:t xml:space="preserve">2.3.</w:t>
            </w:r>
            <w:r/>
          </w:p>
        </w:tc>
        <w:tc>
          <w:tcPr>
            <w:tcBorders/>
            <w:tcW w:w="7650" w:type="dxa"/>
            <w:textDirection w:val="lrTb"/>
            <w:noWrap w:val="false"/>
          </w:tcPr>
          <w:p>
            <w:pPr>
              <w:pStyle w:val="1065"/>
              <w:pBdr/>
              <w:spacing/>
              <w:ind/>
              <w:rPr>
                <w:b/>
                <w:bCs/>
              </w:rPr>
            </w:pPr>
            <w:r/>
            <w:hyperlink w:tooltip="#_2.3._Atelier_collectif" w:anchor="_2.3._Atelier_collectif" w:history="1">
              <w:r>
                <w:rPr>
                  <w:rStyle w:val="1085"/>
                  <w:b/>
                  <w:bCs/>
                </w:rPr>
                <w:t xml:space="preserve">Atelier collectif de création</w:t>
              </w:r>
            </w:hyperlink>
            <w:r/>
            <w:r>
              <w:rPr>
                <w:b/>
                <w:bCs/>
              </w:rPr>
            </w:r>
          </w:p>
          <w:p>
            <w:pPr>
              <w:pStyle w:val="1065"/>
              <w:pBdr/>
              <w:spacing/>
              <w:ind/>
              <w:rPr>
                <w:iCs/>
              </w:rPr>
            </w:pPr>
            <w:r>
              <w:rPr>
                <w:iCs/>
              </w:rPr>
              <w:t xml:space="preserve">Claire LEBRUN</w:t>
            </w:r>
            <w:r>
              <w:rPr>
                <w:iCs/>
              </w:rPr>
            </w:r>
          </w:p>
          <w:p>
            <w:pPr>
              <w:pStyle w:val="1065"/>
              <w:pBdr/>
              <w:spacing/>
              <w:ind/>
              <w:rPr>
                <w:iCs/>
              </w:rPr>
            </w:pPr>
            <w:r>
              <w:rPr>
                <w:i/>
                <w:iCs/>
                <w:sz w:val="20"/>
                <w:szCs w:val="20"/>
              </w:rPr>
              <w:t xml:space="preserve">dédié</w:t>
            </w:r>
            <w:r>
              <w:rPr>
                <w:i/>
                <w:iCs/>
                <w:sz w:val="20"/>
                <w:szCs w:val="20"/>
              </w:rPr>
              <w:t xml:space="preserve"> uniquement aux étudiant.es inscrit.es dans le DU</w:t>
            </w:r>
            <w:r>
              <w:rPr>
                <w:iCs/>
              </w:rPr>
            </w:r>
          </w:p>
        </w:tc>
        <w:tc>
          <w:tcPr>
            <w:tcBorders/>
            <w:tcW w:w="1275" w:type="dxa"/>
            <w:textDirection w:val="lrTb"/>
            <w:noWrap w:val="false"/>
          </w:tcPr>
          <w:p>
            <w:pPr>
              <w:pStyle w:val="1065"/>
              <w:pBdr/>
              <w:spacing/>
              <w:ind/>
              <w:rPr/>
            </w:pPr>
            <w:r>
              <w:t xml:space="preserve">11 TD</w:t>
            </w:r>
            <w:r/>
          </w:p>
        </w:tc>
        <w:tc>
          <w:tcPr>
            <w:tcBorders/>
            <w:tcW w:w="709" w:type="dxa"/>
            <w:textDirection w:val="lrTb"/>
            <w:noWrap w:val="false"/>
          </w:tcPr>
          <w:p>
            <w:pPr>
              <w:pStyle w:val="1065"/>
              <w:pBdr/>
              <w:spacing/>
              <w:ind/>
              <w:rPr/>
            </w:pPr>
            <w:r>
              <w:t xml:space="preserve"> </w:t>
            </w:r>
            <w:r/>
          </w:p>
        </w:tc>
      </w:tr>
      <w:tr>
        <w:trPr>
          <w:trHeight w:val="546"/>
        </w:trPr>
        <w:tc>
          <w:tcPr>
            <w:shd w:val="clear" w:color="auto" w:fill="d9d9d9" w:themeFill="background1" w:themeFillShade="D9"/>
            <w:tcBorders/>
            <w:tcW w:w="709" w:type="dxa"/>
            <w:textDirection w:val="lrTb"/>
            <w:noWrap w:val="false"/>
          </w:tcPr>
          <w:p>
            <w:pPr>
              <w:pStyle w:val="1065"/>
              <w:pBdr/>
              <w:spacing/>
              <w:ind/>
              <w:rPr>
                <w:b/>
              </w:rPr>
            </w:pPr>
            <w:r>
              <w:rPr>
                <w:b/>
              </w:rPr>
              <w:t xml:space="preserve">3.</w:t>
            </w:r>
            <w:r>
              <w:rPr>
                <w:b/>
              </w:rPr>
            </w:r>
          </w:p>
        </w:tc>
        <w:tc>
          <w:tcPr>
            <w:shd w:val="clear" w:color="auto" w:fill="d9d9d9" w:themeFill="background1" w:themeFillShade="D9"/>
            <w:tcBorders/>
            <w:tcW w:w="7650" w:type="dxa"/>
            <w:textDirection w:val="lrTb"/>
            <w:noWrap w:val="false"/>
          </w:tcPr>
          <w:p>
            <w:pPr>
              <w:pStyle w:val="1065"/>
              <w:pBdr/>
              <w:spacing/>
              <w:ind/>
              <w:rPr>
                <w:b/>
                <w:bCs/>
              </w:rPr>
            </w:pPr>
            <w:r/>
            <w:hyperlink w:tooltip="#_MODULE_DE_SPÉCIALISATION" w:anchor="_MODULE_DE_SPÉCIALISATION" w:history="1">
              <w:r>
                <w:rPr>
                  <w:rStyle w:val="1085"/>
                  <w:b/>
                </w:rPr>
                <w:t xml:space="preserve">MODULE SP</w:t>
              </w:r>
              <w:r>
                <w:rPr>
                  <w:rStyle w:val="1085"/>
                  <w:b/>
                  <w:bCs/>
                </w:rPr>
                <w:t xml:space="preserve">É</w:t>
              </w:r>
              <w:r>
                <w:rPr>
                  <w:rStyle w:val="1085"/>
                  <w:b/>
                </w:rPr>
                <w:t xml:space="preserve">CIALISATION : MUSIQUE / ARTS VISUELS / THÉÂTRE</w:t>
              </w:r>
            </w:hyperlink>
            <w:r/>
            <w:r>
              <w:rPr>
                <w:b/>
                <w:bCs/>
              </w:rPr>
            </w:r>
          </w:p>
          <w:p>
            <w:pPr>
              <w:pStyle w:val="1065"/>
              <w:pBdr/>
              <w:spacing/>
              <w:ind/>
              <w:rPr>
                <w:b/>
                <w:bCs/>
              </w:rPr>
            </w:pPr>
            <w:r>
              <w:rPr>
                <w:b/>
                <w:bCs/>
              </w:rPr>
            </w:r>
            <w:r>
              <w:rPr>
                <w:b/>
                <w:bCs/>
              </w:rPr>
            </w:r>
          </w:p>
        </w:tc>
        <w:tc>
          <w:tcPr>
            <w:shd w:val="clear" w:color="auto" w:fill="d9d9d9" w:themeFill="background1" w:themeFillShade="D9"/>
            <w:tcBorders/>
            <w:tcW w:w="1275" w:type="dxa"/>
            <w:textDirection w:val="lrTb"/>
            <w:noWrap w:val="false"/>
          </w:tcPr>
          <w:p>
            <w:pPr>
              <w:pStyle w:val="1065"/>
              <w:pBdr/>
              <w:spacing/>
              <w:ind/>
              <w:rPr>
                <w:b/>
                <w:spacing w:val="-10"/>
              </w:rPr>
            </w:pPr>
            <w:r>
              <w:rPr>
                <w:b/>
                <w:spacing w:val="-10"/>
              </w:rPr>
              <w:t xml:space="preserve">89 heures de cours</w:t>
            </w:r>
            <w:r>
              <w:rPr>
                <w:b/>
                <w:spacing w:val="-10"/>
              </w:rPr>
            </w:r>
          </w:p>
        </w:tc>
        <w:tc>
          <w:tcPr>
            <w:shd w:val="clear" w:color="auto" w:fill="d9d9d9" w:themeFill="background1" w:themeFillShade="D9"/>
            <w:tcBorders/>
            <w:tcW w:w="709" w:type="dxa"/>
            <w:textDirection w:val="lrTb"/>
            <w:noWrap w:val="false"/>
          </w:tcPr>
          <w:p>
            <w:pPr>
              <w:pStyle w:val="1065"/>
              <w:pBdr/>
              <w:spacing/>
              <w:ind/>
              <w:rPr>
                <w:b/>
              </w:rPr>
            </w:pPr>
            <w:r>
              <w:rPr>
                <w:b/>
                <w:spacing w:val="-10"/>
              </w:rPr>
              <w:t xml:space="preserve">5</w:t>
            </w:r>
            <w:r>
              <w:rPr>
                <w:b/>
              </w:rPr>
            </w:r>
          </w:p>
        </w:tc>
      </w:tr>
      <w:tr>
        <w:trPr>
          <w:trHeight w:val="437"/>
        </w:trPr>
        <w:tc>
          <w:tcPr>
            <w:shd w:val="clear" w:color="auto" w:fill="f2f2f2" w:themeFill="background1" w:themeFillShade="F2"/>
            <w:tcBorders/>
            <w:tcW w:w="709" w:type="dxa"/>
            <w:textDirection w:val="lrTb"/>
            <w:noWrap w:val="false"/>
          </w:tcPr>
          <w:p>
            <w:pPr>
              <w:pStyle w:val="1065"/>
              <w:pBdr/>
              <w:spacing/>
              <w:ind/>
              <w:rPr/>
            </w:pPr>
            <w:r/>
            <w:r/>
          </w:p>
        </w:tc>
        <w:tc>
          <w:tcPr>
            <w:shd w:val="clear" w:color="auto" w:fill="f2f2f2" w:themeFill="background1" w:themeFillShade="F2"/>
            <w:tcBorders/>
            <w:tcW w:w="7650" w:type="dxa"/>
            <w:textDirection w:val="lrTb"/>
            <w:noWrap w:val="false"/>
          </w:tcPr>
          <w:p>
            <w:pPr>
              <w:pStyle w:val="1065"/>
              <w:pBdr/>
              <w:spacing/>
              <w:ind/>
              <w:rPr>
                <w:b/>
                <w:bCs/>
                <w:i/>
              </w:rPr>
            </w:pPr>
            <w:r>
              <w:rPr>
                <w:b/>
                <w:i/>
              </w:rPr>
              <w:t xml:space="preserve">MUSIQUE </w:t>
            </w:r>
            <w:r>
              <w:rPr>
                <w:b/>
                <w:bCs/>
                <w:i/>
              </w:rPr>
            </w:r>
          </w:p>
        </w:tc>
        <w:tc>
          <w:tcPr>
            <w:shd w:val="clear" w:color="auto" w:fill="f2f2f2" w:themeFill="background1" w:themeFillShade="F2"/>
            <w:tcBorders/>
            <w:tcW w:w="1275" w:type="dxa"/>
            <w:textDirection w:val="lrTb"/>
            <w:noWrap w:val="false"/>
          </w:tcPr>
          <w:p>
            <w:pPr>
              <w:pStyle w:val="1065"/>
              <w:pBdr/>
              <w:spacing/>
              <w:ind/>
              <w:rPr>
                <w:b/>
              </w:rPr>
            </w:pPr>
            <w:r>
              <w:rPr>
                <w:b/>
              </w:rPr>
            </w:r>
            <w:r>
              <w:rPr>
                <w:b/>
              </w:rPr>
            </w:r>
          </w:p>
        </w:tc>
        <w:tc>
          <w:tcPr>
            <w:shd w:val="clear" w:color="auto" w:fill="f2f2f2" w:themeFill="background1" w:themeFillShade="F2"/>
            <w:tcBorders/>
            <w:tcW w:w="709" w:type="dxa"/>
            <w:textDirection w:val="lrTb"/>
            <w:noWrap w:val="false"/>
          </w:tcPr>
          <w:p>
            <w:pPr>
              <w:pStyle w:val="1065"/>
              <w:pBdr/>
              <w:spacing/>
              <w:ind/>
              <w:rPr>
                <w:b/>
              </w:rPr>
            </w:pPr>
            <w:r>
              <w:rPr>
                <w:b/>
              </w:rPr>
              <w:t xml:space="preserve"> </w:t>
            </w:r>
            <w:r>
              <w:rPr>
                <w:b/>
              </w:rPr>
            </w:r>
          </w:p>
        </w:tc>
      </w:tr>
      <w:tr>
        <w:trPr>
          <w:trHeight w:val="289"/>
        </w:trPr>
        <w:tc>
          <w:tcPr>
            <w:tcBorders/>
            <w:tcW w:w="709" w:type="dxa"/>
            <w:textDirection w:val="lrTb"/>
            <w:noWrap w:val="false"/>
          </w:tcPr>
          <w:p>
            <w:pPr>
              <w:pStyle w:val="1065"/>
              <w:pBdr/>
              <w:spacing/>
              <w:ind/>
              <w:rPr/>
            </w:pPr>
            <w:r>
              <w:t xml:space="preserve">3.1.</w:t>
            </w:r>
            <w:r/>
          </w:p>
        </w:tc>
        <w:tc>
          <w:tcPr>
            <w:tcBorders/>
            <w:tcW w:w="7650" w:type="dxa"/>
            <w:textDirection w:val="lrTb"/>
            <w:noWrap w:val="false"/>
          </w:tcPr>
          <w:p>
            <w:pPr>
              <w:pStyle w:val="1065"/>
              <w:pBdr/>
              <w:spacing/>
              <w:ind/>
              <w:rPr>
                <w:b/>
                <w:bCs/>
              </w:rPr>
            </w:pPr>
            <w:r/>
            <w:hyperlink w:tooltip="#_3.1._Édition_numérique" w:anchor="_3.1._Édition_numérique" w:history="1">
              <w:r>
                <w:rPr>
                  <w:rStyle w:val="1085"/>
                  <w:b/>
                  <w:bCs/>
                </w:rPr>
                <w:t xml:space="preserve">Édition numérique et médiation</w:t>
              </w:r>
            </w:hyperlink>
            <w:r>
              <w:t xml:space="preserve"> =&gt; Innovation artistique et culturelle</w:t>
            </w:r>
            <w:r>
              <w:rPr>
                <w:b/>
                <w:bCs/>
              </w:rPr>
            </w:r>
          </w:p>
          <w:p>
            <w:pPr>
              <w:pStyle w:val="1065"/>
              <w:pBdr/>
              <w:spacing/>
              <w:ind/>
              <w:rPr/>
            </w:pPr>
            <w:r>
              <w:t xml:space="preserve">Géraldine ALIBERTI</w:t>
            </w:r>
            <w:r/>
          </w:p>
          <w:p>
            <w:pPr>
              <w:pStyle w:val="1065"/>
              <w:pBdr/>
              <w:spacing/>
              <w:ind/>
              <w:rPr/>
            </w:pPr>
            <w:r>
              <w:t xml:space="preserve">Ludovic LAURENT-TESTORIS</w:t>
            </w:r>
            <w:r/>
          </w:p>
          <w:p>
            <w:pPr>
              <w:pStyle w:val="1065"/>
              <w:pBdr/>
              <w:spacing/>
              <w:ind/>
              <w:rPr>
                <w:sz w:val="20"/>
                <w:szCs w:val="20"/>
              </w:rPr>
            </w:pPr>
            <w:r>
              <w:rPr>
                <w:i/>
                <w:sz w:val="20"/>
                <w:szCs w:val="20"/>
              </w:rPr>
              <w:t xml:space="preserve">mutualisé</w:t>
            </w:r>
            <w:r>
              <w:rPr>
                <w:i/>
                <w:sz w:val="20"/>
                <w:szCs w:val="20"/>
              </w:rPr>
              <w:t xml:space="preserve"> avec le parcours de master Musique (Administration et gestion de la musique ; Recherche en musicologie)</w:t>
            </w:r>
            <w:r>
              <w:rPr>
                <w:sz w:val="20"/>
                <w:szCs w:val="20"/>
              </w:rPr>
            </w:r>
          </w:p>
        </w:tc>
        <w:tc>
          <w:tcPr>
            <w:tcBorders/>
            <w:tcW w:w="1275" w:type="dxa"/>
            <w:textDirection w:val="lrTb"/>
            <w:noWrap w:val="false"/>
          </w:tcPr>
          <w:p>
            <w:pPr>
              <w:pStyle w:val="1065"/>
              <w:pBdr/>
              <w:spacing/>
              <w:ind/>
              <w:rPr/>
            </w:pPr>
            <w:r>
              <w:t xml:space="preserve">10 TD</w:t>
            </w:r>
            <w:r/>
          </w:p>
        </w:tc>
        <w:tc>
          <w:tcPr>
            <w:tcBorders/>
            <w:tcW w:w="709" w:type="dxa"/>
            <w:textDirection w:val="lrTb"/>
            <w:noWrap w:val="false"/>
          </w:tcPr>
          <w:p>
            <w:pPr>
              <w:pStyle w:val="1065"/>
              <w:pBdr/>
              <w:spacing/>
              <w:ind/>
              <w:rPr/>
            </w:pPr>
            <w:r>
              <w:t xml:space="preserve"> </w:t>
            </w:r>
            <w:r/>
          </w:p>
        </w:tc>
      </w:tr>
      <w:tr>
        <w:trPr>
          <w:trHeight w:val="289"/>
        </w:trPr>
        <w:tc>
          <w:tcPr>
            <w:tcBorders/>
            <w:tcW w:w="709" w:type="dxa"/>
            <w:textDirection w:val="lrTb"/>
            <w:noWrap w:val="false"/>
          </w:tcPr>
          <w:p>
            <w:pPr>
              <w:pStyle w:val="1065"/>
              <w:pBdr/>
              <w:spacing/>
              <w:ind/>
              <w:rPr/>
            </w:pPr>
            <w:r>
              <w:t xml:space="preserve">3.2.</w:t>
            </w:r>
            <w:r/>
          </w:p>
        </w:tc>
        <w:tc>
          <w:tcPr>
            <w:tcBorders/>
            <w:tcW w:w="7650" w:type="dxa"/>
            <w:textDirection w:val="lrTb"/>
            <w:noWrap w:val="false"/>
          </w:tcPr>
          <w:p>
            <w:pPr>
              <w:pStyle w:val="1065"/>
              <w:pBdr/>
              <w:spacing/>
              <w:ind/>
              <w:rPr>
                <w:b/>
                <w:bCs/>
              </w:rPr>
            </w:pPr>
            <w:r/>
            <w:hyperlink w:tooltip="#_3.2._Écritures_musicales" w:anchor="_3.2._Écritures_musicales" w:history="1">
              <w:r>
                <w:rPr>
                  <w:rStyle w:val="1085"/>
                  <w:b/>
                  <w:bCs/>
                </w:rPr>
                <w:t xml:space="preserve">Écritures musicales et sonores pour le jeune public</w:t>
              </w:r>
            </w:hyperlink>
            <w:r/>
            <w:r>
              <w:rPr>
                <w:b/>
                <w:bCs/>
              </w:rPr>
            </w:r>
          </w:p>
          <w:p>
            <w:pPr>
              <w:pStyle w:val="1065"/>
              <w:pBdr/>
              <w:spacing/>
              <w:ind/>
              <w:rPr/>
            </w:pPr>
            <w:r>
              <w:t xml:space="preserve">Gérard AUTHELAIN</w:t>
            </w:r>
            <w:r/>
          </w:p>
          <w:p>
            <w:pPr>
              <w:pStyle w:val="1065"/>
              <w:pBdr/>
              <w:spacing/>
              <w:ind/>
              <w:rPr>
                <w:bCs/>
                <w:i/>
                <w:sz w:val="20"/>
                <w:szCs w:val="20"/>
              </w:rPr>
            </w:pPr>
            <w:r>
              <w:rPr>
                <w:i/>
                <w:iCs/>
                <w:sz w:val="20"/>
                <w:szCs w:val="20"/>
              </w:rPr>
              <w:t xml:space="preserve">mutualisé</w:t>
            </w:r>
            <w:r>
              <w:rPr>
                <w:i/>
                <w:iCs/>
                <w:sz w:val="20"/>
                <w:szCs w:val="20"/>
              </w:rPr>
              <w:t xml:space="preserve"> avec </w:t>
            </w:r>
            <w:r>
              <w:rPr>
                <w:i/>
                <w:sz w:val="20"/>
                <w:szCs w:val="20"/>
              </w:rPr>
              <w:t xml:space="preserve">le parcours de master Musique (Administration et gestion de la musique ; Recherche en musicologie)</w:t>
            </w:r>
            <w:r>
              <w:rPr>
                <w:bCs/>
                <w:i/>
                <w:sz w:val="20"/>
                <w:szCs w:val="20"/>
              </w:rPr>
            </w:r>
          </w:p>
        </w:tc>
        <w:tc>
          <w:tcPr>
            <w:tcBorders/>
            <w:tcW w:w="1275" w:type="dxa"/>
            <w:textDirection w:val="lrTb"/>
            <w:noWrap w:val="false"/>
          </w:tcPr>
          <w:p>
            <w:pPr>
              <w:pStyle w:val="1065"/>
              <w:pBdr/>
              <w:spacing/>
              <w:ind/>
              <w:rPr/>
            </w:pPr>
            <w:r>
              <w:t xml:space="preserve">2 CM</w:t>
            </w:r>
            <w:r/>
          </w:p>
          <w:p>
            <w:pPr>
              <w:pStyle w:val="1065"/>
              <w:pBdr/>
              <w:spacing/>
              <w:ind/>
              <w:rPr/>
            </w:pPr>
            <w:r>
              <w:t xml:space="preserve">10 TD</w:t>
            </w:r>
            <w:r/>
          </w:p>
        </w:tc>
        <w:tc>
          <w:tcPr>
            <w:tcBorders/>
            <w:tcW w:w="709" w:type="dxa"/>
            <w:textDirection w:val="lrTb"/>
            <w:noWrap w:val="false"/>
          </w:tcPr>
          <w:p>
            <w:pPr>
              <w:pStyle w:val="1065"/>
              <w:pBdr/>
              <w:spacing/>
              <w:ind/>
              <w:rPr/>
            </w:pPr>
            <w:r>
              <w:t xml:space="preserve"> </w:t>
            </w:r>
            <w:r/>
          </w:p>
        </w:tc>
      </w:tr>
      <w:tr>
        <w:trPr>
          <w:trHeight w:val="289"/>
        </w:trPr>
        <w:tc>
          <w:tcPr>
            <w:tcBorders/>
            <w:tcW w:w="709" w:type="dxa"/>
            <w:textDirection w:val="lrTb"/>
            <w:noWrap w:val="false"/>
          </w:tcPr>
          <w:p>
            <w:pPr>
              <w:pStyle w:val="1065"/>
              <w:pBdr/>
              <w:spacing/>
              <w:ind/>
              <w:rPr/>
            </w:pPr>
            <w:r>
              <w:t xml:space="preserve">3.3.</w:t>
            </w:r>
            <w:r/>
          </w:p>
        </w:tc>
        <w:tc>
          <w:tcPr>
            <w:tcBorders/>
            <w:tcW w:w="7650" w:type="dxa"/>
            <w:textDirection w:val="lrTb"/>
            <w:noWrap w:val="false"/>
          </w:tcPr>
          <w:p>
            <w:pPr>
              <w:pStyle w:val="1065"/>
              <w:pBdr/>
              <w:spacing/>
              <w:ind/>
              <w:rPr>
                <w:b/>
                <w:bCs/>
              </w:rPr>
            </w:pPr>
            <w:r/>
            <w:hyperlink w:tooltip="#_3.3._Programmation_jeune" w:anchor="_3.3._Programmation_jeune" w:history="1">
              <w:r>
                <w:rPr>
                  <w:rStyle w:val="1085"/>
                  <w:b/>
                  <w:bCs/>
                </w:rPr>
                <w:t xml:space="preserve">Programmation jeune public</w:t>
              </w:r>
            </w:hyperlink>
            <w:r/>
            <w:r>
              <w:rPr>
                <w:b/>
                <w:bCs/>
              </w:rPr>
            </w:r>
          </w:p>
          <w:p>
            <w:pPr>
              <w:pStyle w:val="1065"/>
              <w:pBdr/>
              <w:spacing/>
              <w:ind/>
              <w:rPr/>
            </w:pPr>
            <w:r>
              <w:t xml:space="preserve">Luciana PENNA</w:t>
            </w:r>
            <w:r/>
          </w:p>
          <w:p>
            <w:pPr>
              <w:pStyle w:val="1065"/>
              <w:pBdr/>
              <w:spacing/>
              <w:ind/>
              <w:rPr>
                <w:sz w:val="20"/>
                <w:szCs w:val="20"/>
              </w:rPr>
            </w:pPr>
            <w:r>
              <w:rPr>
                <w:i/>
                <w:sz w:val="20"/>
                <w:szCs w:val="20"/>
              </w:rPr>
              <w:t xml:space="preserve">mutualisé</w:t>
            </w:r>
            <w:r>
              <w:rPr>
                <w:i/>
                <w:sz w:val="20"/>
                <w:szCs w:val="20"/>
              </w:rPr>
              <w:t xml:space="preserve"> avec le parcours de master Musique (Administration et gestion de la musique)</w:t>
            </w:r>
            <w:r>
              <w:rPr>
                <w:sz w:val="20"/>
                <w:szCs w:val="20"/>
              </w:rPr>
            </w:r>
          </w:p>
        </w:tc>
        <w:tc>
          <w:tcPr>
            <w:tcBorders/>
            <w:tcW w:w="1275" w:type="dxa"/>
            <w:textDirection w:val="lrTb"/>
            <w:noWrap w:val="false"/>
          </w:tcPr>
          <w:p>
            <w:pPr>
              <w:pStyle w:val="1065"/>
              <w:pBdr/>
              <w:spacing/>
              <w:ind/>
              <w:rPr/>
            </w:pPr>
            <w:r>
              <w:t xml:space="preserve">5 TD</w:t>
            </w:r>
            <w:r/>
          </w:p>
        </w:tc>
        <w:tc>
          <w:tcPr>
            <w:tcBorders/>
            <w:tcW w:w="709" w:type="dxa"/>
            <w:textDirection w:val="lrTb"/>
            <w:noWrap w:val="false"/>
          </w:tcPr>
          <w:p>
            <w:pPr>
              <w:pStyle w:val="1065"/>
              <w:pBdr/>
              <w:spacing/>
              <w:ind/>
              <w:rPr/>
            </w:pPr>
            <w:r>
              <w:t xml:space="preserve"> </w:t>
            </w:r>
            <w:r/>
          </w:p>
        </w:tc>
      </w:tr>
      <w:tr>
        <w:trPr>
          <w:trHeight w:val="290"/>
        </w:trPr>
        <w:tc>
          <w:tcPr>
            <w:tcBorders/>
            <w:tcW w:w="709" w:type="dxa"/>
            <w:textDirection w:val="lrTb"/>
            <w:noWrap w:val="false"/>
          </w:tcPr>
          <w:p>
            <w:pPr>
              <w:pStyle w:val="1065"/>
              <w:pBdr/>
              <w:spacing/>
              <w:ind/>
              <w:rPr/>
            </w:pPr>
            <w:r>
              <w:t xml:space="preserve">3.4.</w:t>
            </w:r>
            <w:r/>
          </w:p>
        </w:tc>
        <w:tc>
          <w:tcPr>
            <w:tcBorders/>
            <w:tcW w:w="7650" w:type="dxa"/>
            <w:textDirection w:val="lrTb"/>
            <w:noWrap w:val="false"/>
          </w:tcPr>
          <w:p>
            <w:pPr>
              <w:pStyle w:val="1065"/>
              <w:pBdr/>
              <w:spacing/>
              <w:ind/>
              <w:rPr>
                <w:b/>
                <w:bCs/>
              </w:rPr>
            </w:pPr>
            <w:r/>
            <w:hyperlink w:tooltip="#_3.4._Médiation_artistique" w:anchor="_3.4._Médiation_artistique" w:history="1">
              <w:r>
                <w:rPr>
                  <w:rStyle w:val="1085"/>
                  <w:b/>
                  <w:bCs/>
                </w:rPr>
                <w:t xml:space="preserve">Médiation artistique et culturelle : l’exemple du jeune public – musique contemporaine</w:t>
              </w:r>
            </w:hyperlink>
            <w:r/>
            <w:r>
              <w:rPr>
                <w:b/>
                <w:bCs/>
              </w:rPr>
            </w:r>
          </w:p>
          <w:p>
            <w:pPr>
              <w:pStyle w:val="1065"/>
              <w:pBdr/>
              <w:spacing/>
              <w:ind/>
              <w:rPr/>
            </w:pPr>
            <w:r>
              <w:t xml:space="preserve">Amélie FINET</w:t>
            </w:r>
            <w:r/>
          </w:p>
          <w:p>
            <w:pPr>
              <w:pStyle w:val="1065"/>
              <w:pBdr/>
              <w:spacing/>
              <w:ind/>
              <w:rPr>
                <w:sz w:val="20"/>
                <w:szCs w:val="20"/>
              </w:rPr>
            </w:pPr>
            <w:r>
              <w:rPr>
                <w:i/>
                <w:sz w:val="20"/>
                <w:szCs w:val="20"/>
              </w:rPr>
              <w:t xml:space="preserve">mutualisé</w:t>
            </w:r>
            <w:r>
              <w:rPr>
                <w:i/>
                <w:sz w:val="20"/>
                <w:szCs w:val="20"/>
              </w:rPr>
              <w:t xml:space="preserve"> avec le parcours de Master Métiers des institutions culturelles </w:t>
            </w:r>
            <w:r>
              <w:rPr>
                <w:sz w:val="20"/>
                <w:szCs w:val="20"/>
              </w:rPr>
            </w:r>
          </w:p>
        </w:tc>
        <w:tc>
          <w:tcPr>
            <w:tcBorders/>
            <w:tcW w:w="1275" w:type="dxa"/>
            <w:textDirection w:val="lrTb"/>
            <w:noWrap w:val="false"/>
          </w:tcPr>
          <w:p>
            <w:pPr>
              <w:pStyle w:val="1065"/>
              <w:pBdr/>
              <w:spacing/>
              <w:ind/>
              <w:rPr/>
            </w:pPr>
            <w:r>
              <w:t xml:space="preserve">6 CM</w:t>
            </w:r>
            <w:r>
              <w:br/>
              <w:t xml:space="preserve">6 TD</w:t>
            </w:r>
            <w:r/>
          </w:p>
        </w:tc>
        <w:tc>
          <w:tcPr>
            <w:tcBorders/>
            <w:tcW w:w="709" w:type="dxa"/>
            <w:textDirection w:val="lrTb"/>
            <w:noWrap w:val="false"/>
          </w:tcPr>
          <w:p>
            <w:pPr>
              <w:pStyle w:val="1065"/>
              <w:pBdr/>
              <w:spacing/>
              <w:ind/>
              <w:rPr/>
            </w:pPr>
            <w:r>
              <w:t xml:space="preserve"> </w:t>
            </w:r>
            <w:r/>
          </w:p>
        </w:tc>
      </w:tr>
      <w:tr>
        <w:trPr>
          <w:trHeight w:val="289"/>
        </w:trPr>
        <w:tc>
          <w:tcPr>
            <w:tcBorders/>
            <w:tcW w:w="709" w:type="dxa"/>
            <w:textDirection w:val="lrTb"/>
            <w:noWrap w:val="false"/>
          </w:tcPr>
          <w:p>
            <w:pPr>
              <w:pStyle w:val="1065"/>
              <w:pBdr/>
              <w:spacing/>
              <w:ind/>
              <w:rPr/>
            </w:pPr>
            <w:r/>
            <w:r/>
          </w:p>
        </w:tc>
        <w:tc>
          <w:tcPr>
            <w:tcBorders/>
            <w:tcW w:w="7650" w:type="dxa"/>
            <w:textDirection w:val="lrTb"/>
            <w:noWrap w:val="false"/>
          </w:tcPr>
          <w:p>
            <w:pPr>
              <w:pStyle w:val="1065"/>
              <w:pBdr/>
              <w:spacing/>
              <w:ind/>
              <w:rPr>
                <w:b/>
                <w:bCs/>
              </w:rPr>
            </w:pPr>
            <w:r>
              <w:rPr>
                <w:b/>
                <w:bCs/>
              </w:rPr>
            </w:r>
            <w:r>
              <w:rPr>
                <w:b/>
                <w:bCs/>
              </w:rPr>
            </w:r>
          </w:p>
        </w:tc>
        <w:tc>
          <w:tcPr>
            <w:tcBorders/>
            <w:tcW w:w="1275" w:type="dxa"/>
            <w:textDirection w:val="lrTb"/>
            <w:noWrap w:val="false"/>
          </w:tcPr>
          <w:p>
            <w:pPr>
              <w:pStyle w:val="1065"/>
              <w:pBdr/>
              <w:spacing/>
              <w:ind/>
              <w:rPr/>
            </w:pPr>
            <w:r/>
            <w:r/>
          </w:p>
        </w:tc>
        <w:tc>
          <w:tcPr>
            <w:tcBorders/>
            <w:tcW w:w="709" w:type="dxa"/>
            <w:textDirection w:val="lrTb"/>
            <w:noWrap w:val="false"/>
          </w:tcPr>
          <w:p>
            <w:pPr>
              <w:pStyle w:val="1065"/>
              <w:pBdr/>
              <w:spacing/>
              <w:ind/>
              <w:rPr/>
            </w:pPr>
            <w:r/>
            <w:r/>
          </w:p>
        </w:tc>
      </w:tr>
      <w:tr>
        <w:trPr>
          <w:trHeight w:val="437"/>
        </w:trPr>
        <w:tc>
          <w:tcPr>
            <w:shd w:val="clear" w:color="auto" w:fill="f2f2f2" w:themeFill="background1" w:themeFillShade="F2"/>
            <w:tcBorders/>
            <w:tcW w:w="709" w:type="dxa"/>
            <w:textDirection w:val="lrTb"/>
            <w:noWrap w:val="false"/>
          </w:tcPr>
          <w:p>
            <w:pPr>
              <w:pStyle w:val="1065"/>
              <w:pBdr/>
              <w:spacing/>
              <w:ind/>
              <w:rPr/>
            </w:pPr>
            <w:r/>
            <w:r/>
          </w:p>
        </w:tc>
        <w:tc>
          <w:tcPr>
            <w:shd w:val="clear" w:color="auto" w:fill="f2f2f2" w:themeFill="background1" w:themeFillShade="F2"/>
            <w:tcBorders/>
            <w:tcW w:w="7650" w:type="dxa"/>
            <w:textDirection w:val="lrTb"/>
            <w:noWrap w:val="false"/>
          </w:tcPr>
          <w:p>
            <w:pPr>
              <w:pStyle w:val="1065"/>
              <w:pBdr/>
              <w:spacing/>
              <w:ind/>
              <w:rPr>
                <w:b/>
                <w:bCs/>
                <w:i/>
              </w:rPr>
            </w:pPr>
            <w:r>
              <w:rPr>
                <w:b/>
                <w:i/>
              </w:rPr>
              <w:t xml:space="preserve">ARTS VISUELS : arts plastiques et cinéma d'animation </w:t>
            </w:r>
            <w:r>
              <w:rPr>
                <w:b/>
                <w:bCs/>
                <w:i/>
              </w:rPr>
            </w:r>
          </w:p>
        </w:tc>
        <w:tc>
          <w:tcPr>
            <w:shd w:val="clear" w:color="auto" w:fill="f2f2f2" w:themeFill="background1" w:themeFillShade="F2"/>
            <w:tcBorders/>
            <w:tcW w:w="1275" w:type="dxa"/>
            <w:textDirection w:val="lrTb"/>
            <w:noWrap w:val="false"/>
          </w:tcPr>
          <w:p>
            <w:pPr>
              <w:pStyle w:val="1065"/>
              <w:pBdr/>
              <w:spacing/>
              <w:ind/>
              <w:rPr>
                <w:b/>
              </w:rPr>
            </w:pPr>
            <w:r>
              <w:rPr>
                <w:b/>
              </w:rPr>
            </w:r>
            <w:r>
              <w:rPr>
                <w:b/>
              </w:rPr>
            </w:r>
          </w:p>
        </w:tc>
        <w:tc>
          <w:tcPr>
            <w:shd w:val="clear" w:color="auto" w:fill="f2f2f2" w:themeFill="background1" w:themeFillShade="F2"/>
            <w:tcBorders/>
            <w:tcW w:w="709" w:type="dxa"/>
            <w:textDirection w:val="lrTb"/>
            <w:noWrap w:val="false"/>
          </w:tcPr>
          <w:p>
            <w:pPr>
              <w:pStyle w:val="1065"/>
              <w:pBdr/>
              <w:spacing/>
              <w:ind/>
              <w:rPr>
                <w:b/>
              </w:rPr>
            </w:pPr>
            <w:r>
              <w:rPr>
                <w:b/>
              </w:rPr>
              <w:t xml:space="preserve"> </w:t>
            </w:r>
            <w:r>
              <w:rPr>
                <w:b/>
              </w:rPr>
            </w:r>
          </w:p>
        </w:tc>
      </w:tr>
      <w:tr>
        <w:trPr>
          <w:trHeight w:val="289"/>
        </w:trPr>
        <w:tc>
          <w:tcPr>
            <w:tcBorders/>
            <w:tcW w:w="709" w:type="dxa"/>
            <w:textDirection w:val="lrTb"/>
            <w:noWrap w:val="false"/>
          </w:tcPr>
          <w:p>
            <w:pPr>
              <w:pStyle w:val="1065"/>
              <w:pBdr/>
              <w:spacing/>
              <w:ind/>
              <w:rPr/>
            </w:pPr>
            <w:r>
              <w:t xml:space="preserve">3.5.</w:t>
            </w:r>
            <w:r/>
          </w:p>
        </w:tc>
        <w:tc>
          <w:tcPr>
            <w:tcBorders/>
            <w:tcW w:w="7650" w:type="dxa"/>
            <w:textDirection w:val="lrTb"/>
            <w:noWrap w:val="false"/>
          </w:tcPr>
          <w:p>
            <w:pPr>
              <w:pStyle w:val="1065"/>
              <w:pBdr/>
              <w:spacing/>
              <w:ind/>
              <w:rPr>
                <w:b/>
                <w:bCs/>
              </w:rPr>
            </w:pPr>
            <w:r/>
            <w:hyperlink w:tooltip="#_3.5._Médiation_artistique" w:anchor="_3.5._Médiation_artistique" w:history="1">
              <w:r>
                <w:rPr>
                  <w:rStyle w:val="1085"/>
                  <w:b/>
                  <w:bCs/>
                </w:rPr>
                <w:t xml:space="preserve">Médiation artistique et culturelle : l’exemple du jeune public – art contemporain</w:t>
              </w:r>
            </w:hyperlink>
            <w:r/>
            <w:r>
              <w:rPr>
                <w:b/>
                <w:bCs/>
              </w:rPr>
            </w:r>
          </w:p>
          <w:p>
            <w:pPr>
              <w:pStyle w:val="1065"/>
              <w:pBdr/>
              <w:spacing/>
              <w:ind/>
              <w:rPr/>
            </w:pPr>
            <w:r>
              <w:t xml:space="preserve">Sarah MATTERA </w:t>
            </w:r>
            <w:r/>
          </w:p>
          <w:p>
            <w:pPr>
              <w:pStyle w:val="1065"/>
              <w:pBdr/>
              <w:spacing/>
              <w:ind/>
              <w:rPr>
                <w:sz w:val="20"/>
                <w:szCs w:val="20"/>
              </w:rPr>
            </w:pPr>
            <w:r>
              <w:rPr>
                <w:i/>
                <w:sz w:val="20"/>
                <w:szCs w:val="20"/>
              </w:rPr>
              <w:t xml:space="preserve">mutualisé</w:t>
            </w:r>
            <w:r>
              <w:rPr>
                <w:i/>
                <w:sz w:val="20"/>
                <w:szCs w:val="20"/>
              </w:rPr>
              <w:t xml:space="preserve"> avec le parcours de Master Métiers des institutions culturelles </w:t>
            </w:r>
            <w:r>
              <w:rPr>
                <w:sz w:val="20"/>
                <w:szCs w:val="20"/>
              </w:rPr>
            </w:r>
          </w:p>
        </w:tc>
        <w:tc>
          <w:tcPr>
            <w:tcBorders/>
            <w:tcW w:w="1275" w:type="dxa"/>
            <w:textDirection w:val="lrTb"/>
            <w:noWrap w:val="false"/>
          </w:tcPr>
          <w:p>
            <w:pPr>
              <w:pStyle w:val="1065"/>
              <w:pBdr/>
              <w:spacing/>
              <w:ind/>
              <w:rPr/>
            </w:pPr>
            <w:r>
              <w:t xml:space="preserve">6 CM </w:t>
            </w:r>
            <w:r>
              <w:br/>
              <w:t xml:space="preserve">6TD</w:t>
            </w:r>
            <w:r/>
          </w:p>
        </w:tc>
        <w:tc>
          <w:tcPr>
            <w:tcBorders/>
            <w:tcW w:w="709" w:type="dxa"/>
            <w:textDirection w:val="lrTb"/>
            <w:noWrap w:val="false"/>
          </w:tcPr>
          <w:p>
            <w:pPr>
              <w:pStyle w:val="1065"/>
              <w:pBdr/>
              <w:spacing/>
              <w:ind/>
              <w:rPr/>
            </w:pPr>
            <w:r>
              <w:t xml:space="preserve"> </w:t>
            </w:r>
            <w:r/>
          </w:p>
        </w:tc>
      </w:tr>
      <w:tr>
        <w:trPr>
          <w:trHeight w:val="290"/>
        </w:trPr>
        <w:tc>
          <w:tcPr>
            <w:tcBorders/>
            <w:tcW w:w="709" w:type="dxa"/>
            <w:textDirection w:val="lrTb"/>
            <w:noWrap w:val="false"/>
          </w:tcPr>
          <w:p>
            <w:pPr>
              <w:pStyle w:val="1065"/>
              <w:pBdr/>
              <w:spacing/>
              <w:ind/>
              <w:rPr/>
            </w:pPr>
            <w:r>
              <w:t xml:space="preserve">3.6.</w:t>
            </w:r>
            <w:r/>
          </w:p>
        </w:tc>
        <w:tc>
          <w:tcPr>
            <w:tcBorders/>
            <w:tcW w:w="7650" w:type="dxa"/>
            <w:textDirection w:val="lrTb"/>
            <w:noWrap w:val="false"/>
          </w:tcPr>
          <w:p>
            <w:pPr>
              <w:pStyle w:val="1065"/>
              <w:pBdr/>
              <w:spacing/>
              <w:ind/>
              <w:rPr>
                <w:b/>
                <w:bCs/>
              </w:rPr>
            </w:pPr>
            <w:r/>
            <w:hyperlink w:tooltip="#_3.6._Illustration_jeunesse" w:anchor="_3.6._Illustration_jeunesse" w:history="1">
              <w:r>
                <w:rPr>
                  <w:rStyle w:val="1085"/>
                  <w:b/>
                  <w:bCs/>
                </w:rPr>
                <w:t xml:space="preserve">Illustration jeunesse</w:t>
              </w:r>
            </w:hyperlink>
            <w:r/>
            <w:r>
              <w:rPr>
                <w:b/>
                <w:bCs/>
              </w:rPr>
            </w:r>
          </w:p>
          <w:p>
            <w:pPr>
              <w:pStyle w:val="1065"/>
              <w:pBdr/>
              <w:spacing/>
              <w:ind/>
              <w:rPr/>
            </w:pPr>
            <w:r>
              <w:t xml:space="preserve">Véronique VERNETTE</w:t>
            </w:r>
            <w:r/>
          </w:p>
          <w:p>
            <w:pPr>
              <w:pStyle w:val="1065"/>
              <w:pBdr/>
              <w:spacing/>
              <w:ind/>
              <w:rPr>
                <w:sz w:val="20"/>
                <w:szCs w:val="20"/>
              </w:rPr>
            </w:pPr>
            <w:r>
              <w:rPr>
                <w:i/>
                <w:iCs/>
                <w:sz w:val="20"/>
                <w:szCs w:val="20"/>
              </w:rPr>
              <w:t xml:space="preserve">dédié</w:t>
            </w:r>
            <w:r>
              <w:rPr>
                <w:i/>
                <w:iCs/>
                <w:sz w:val="20"/>
                <w:szCs w:val="20"/>
              </w:rPr>
              <w:t xml:space="preserve"> uniquement aux étudiant.es inscrit</w:t>
            </w:r>
            <w:r>
              <w:rPr>
                <w:i/>
                <w:iCs/>
                <w:sz w:val="20"/>
                <w:szCs w:val="20"/>
              </w:rPr>
              <w:t xml:space="preserve">.es dans le DU</w:t>
            </w:r>
            <w:r>
              <w:rPr>
                <w:sz w:val="20"/>
                <w:szCs w:val="20"/>
              </w:rPr>
            </w:r>
          </w:p>
        </w:tc>
        <w:tc>
          <w:tcPr>
            <w:tcBorders/>
            <w:tcW w:w="1275" w:type="dxa"/>
            <w:textDirection w:val="lrTb"/>
            <w:noWrap w:val="false"/>
          </w:tcPr>
          <w:p>
            <w:pPr>
              <w:pStyle w:val="1065"/>
              <w:pBdr/>
              <w:spacing/>
              <w:ind/>
              <w:rPr/>
            </w:pPr>
            <w:r>
              <w:t xml:space="preserve">4 TD</w:t>
            </w:r>
            <w:r/>
          </w:p>
        </w:tc>
        <w:tc>
          <w:tcPr>
            <w:tcBorders/>
            <w:tcW w:w="709" w:type="dxa"/>
            <w:textDirection w:val="lrTb"/>
            <w:noWrap w:val="false"/>
          </w:tcPr>
          <w:p>
            <w:pPr>
              <w:pStyle w:val="1065"/>
              <w:pBdr/>
              <w:spacing/>
              <w:ind/>
              <w:rPr/>
            </w:pPr>
            <w:r>
              <w:t xml:space="preserve"> </w:t>
            </w:r>
            <w:r/>
          </w:p>
        </w:tc>
      </w:tr>
      <w:tr>
        <w:trPr>
          <w:trHeight w:val="289"/>
        </w:trPr>
        <w:tc>
          <w:tcPr>
            <w:tcBorders/>
            <w:tcW w:w="709" w:type="dxa"/>
            <w:textDirection w:val="lrTb"/>
            <w:noWrap w:val="false"/>
          </w:tcPr>
          <w:p>
            <w:pPr>
              <w:pStyle w:val="1065"/>
              <w:pBdr/>
              <w:spacing/>
              <w:ind/>
              <w:rPr/>
            </w:pPr>
            <w:r>
              <w:t xml:space="preserve">3.7.</w:t>
            </w:r>
            <w:r/>
          </w:p>
        </w:tc>
        <w:tc>
          <w:tcPr>
            <w:tcBorders/>
            <w:tcW w:w="7650" w:type="dxa"/>
            <w:textDirection w:val="lrTb"/>
            <w:noWrap w:val="false"/>
          </w:tcPr>
          <w:p>
            <w:pPr>
              <w:pStyle w:val="1065"/>
              <w:pBdr/>
              <w:spacing/>
              <w:ind/>
              <w:rPr>
                <w:b/>
                <w:bCs/>
              </w:rPr>
            </w:pPr>
            <w:r/>
            <w:hyperlink w:tooltip="#_3.7._Cinéma_d'animation" w:anchor="_3.7._Cinéma_d'animation" w:history="1">
              <w:r>
                <w:rPr>
                  <w:rStyle w:val="1085"/>
                  <w:b/>
                  <w:bCs/>
                </w:rPr>
                <w:t xml:space="preserve">Cinéma d'animation pour la jeunesse : perspectives historiques et esthétiques</w:t>
              </w:r>
            </w:hyperlink>
            <w:r/>
            <w:r>
              <w:rPr>
                <w:b/>
                <w:bCs/>
              </w:rPr>
            </w:r>
          </w:p>
          <w:p>
            <w:pPr>
              <w:pStyle w:val="1065"/>
              <w:pBdr/>
              <w:spacing/>
              <w:ind/>
              <w:rPr/>
            </w:pPr>
            <w:r>
              <w:t xml:space="preserve">Jérôme DUTEL</w:t>
            </w:r>
            <w:r/>
          </w:p>
          <w:p>
            <w:pPr>
              <w:pStyle w:val="1065"/>
              <w:pBdr/>
              <w:spacing/>
              <w:ind/>
              <w:rPr>
                <w:sz w:val="20"/>
                <w:szCs w:val="20"/>
              </w:rPr>
            </w:pPr>
            <w:r>
              <w:rPr>
                <w:i/>
                <w:iCs/>
                <w:sz w:val="20"/>
                <w:szCs w:val="20"/>
              </w:rPr>
              <w:t xml:space="preserve">dédié</w:t>
            </w:r>
            <w:r>
              <w:rPr>
                <w:i/>
                <w:iCs/>
                <w:sz w:val="20"/>
                <w:szCs w:val="20"/>
              </w:rPr>
              <w:t xml:space="preserve"> uniquement aux étudiant.es inscrit.es dans le DU</w:t>
            </w:r>
            <w:r>
              <w:rPr>
                <w:sz w:val="20"/>
                <w:szCs w:val="20"/>
              </w:rPr>
            </w:r>
          </w:p>
        </w:tc>
        <w:tc>
          <w:tcPr>
            <w:tcBorders/>
            <w:tcW w:w="1275" w:type="dxa"/>
            <w:textDirection w:val="lrTb"/>
            <w:noWrap w:val="false"/>
          </w:tcPr>
          <w:p>
            <w:pPr>
              <w:pStyle w:val="1065"/>
              <w:pBdr/>
              <w:spacing/>
              <w:ind/>
              <w:rPr/>
            </w:pPr>
            <w:r>
              <w:t xml:space="preserve">2,5 </w:t>
            </w:r>
            <w:r>
              <w:t xml:space="preserve">CMl</w:t>
            </w:r>
            <w:r/>
          </w:p>
          <w:p>
            <w:pPr>
              <w:pStyle w:val="1065"/>
              <w:pBdr/>
              <w:spacing/>
              <w:ind/>
              <w:rPr/>
            </w:pPr>
            <w:r>
              <w:t xml:space="preserve">2,5 TD</w:t>
            </w:r>
            <w:r/>
          </w:p>
        </w:tc>
        <w:tc>
          <w:tcPr>
            <w:tcBorders/>
            <w:tcW w:w="709" w:type="dxa"/>
            <w:textDirection w:val="lrTb"/>
            <w:noWrap w:val="false"/>
          </w:tcPr>
          <w:p>
            <w:pPr>
              <w:pStyle w:val="1065"/>
              <w:pBdr/>
              <w:spacing/>
              <w:ind/>
              <w:rPr/>
            </w:pPr>
            <w:r>
              <w:t xml:space="preserve"> </w:t>
            </w:r>
            <w:r/>
          </w:p>
        </w:tc>
      </w:tr>
      <w:tr>
        <w:trPr>
          <w:trHeight w:val="289"/>
        </w:trPr>
        <w:tc>
          <w:tcPr>
            <w:tcBorders/>
            <w:tcW w:w="709" w:type="dxa"/>
            <w:textDirection w:val="lrTb"/>
            <w:noWrap w:val="false"/>
          </w:tcPr>
          <w:p>
            <w:pPr>
              <w:pStyle w:val="1065"/>
              <w:pBdr/>
              <w:spacing/>
              <w:ind/>
              <w:rPr/>
            </w:pPr>
            <w:r>
              <w:t xml:space="preserve">3.8.</w:t>
            </w:r>
            <w:r/>
          </w:p>
        </w:tc>
        <w:tc>
          <w:tcPr>
            <w:tcBorders/>
            <w:tcW w:w="7650" w:type="dxa"/>
            <w:textDirection w:val="lrTb"/>
            <w:noWrap w:val="false"/>
          </w:tcPr>
          <w:p>
            <w:pPr>
              <w:pStyle w:val="1065"/>
              <w:pBdr/>
              <w:spacing/>
              <w:ind/>
              <w:rPr>
                <w:b/>
                <w:bCs/>
              </w:rPr>
            </w:pPr>
            <w:r/>
            <w:hyperlink w:tooltip="#_3.8._Médiation_avec" w:anchor="_3.8._Médiation_avec" w:history="1">
              <w:r>
                <w:rPr>
                  <w:rStyle w:val="1085"/>
                  <w:b/>
                  <w:bCs/>
                </w:rPr>
                <w:t xml:space="preserve">Médiation avec le public scolaire – cinémathèque municipale</w:t>
              </w:r>
            </w:hyperlink>
            <w:r/>
            <w:r>
              <w:rPr>
                <w:b/>
                <w:bCs/>
              </w:rPr>
            </w:r>
          </w:p>
          <w:p>
            <w:pPr>
              <w:pStyle w:val="1065"/>
              <w:pBdr/>
              <w:spacing/>
              <w:ind/>
              <w:rPr/>
            </w:pPr>
            <w:r>
              <w:t xml:space="preserve">Isabelle CARLAT</w:t>
            </w:r>
            <w:r/>
          </w:p>
          <w:p>
            <w:pPr>
              <w:pStyle w:val="1065"/>
              <w:pBdr/>
              <w:spacing/>
              <w:ind/>
              <w:rPr/>
            </w:pPr>
            <w:r>
              <w:t xml:space="preserve">Antoine RAVAT</w:t>
            </w:r>
            <w:r/>
          </w:p>
          <w:p>
            <w:pPr>
              <w:pStyle w:val="1065"/>
              <w:pBdr/>
              <w:spacing/>
              <w:ind/>
              <w:rPr>
                <w:sz w:val="20"/>
                <w:szCs w:val="20"/>
              </w:rPr>
            </w:pPr>
            <w:r>
              <w:rPr>
                <w:i/>
                <w:iCs/>
                <w:sz w:val="20"/>
                <w:szCs w:val="20"/>
              </w:rPr>
              <w:t xml:space="preserve">dédié</w:t>
            </w:r>
            <w:r>
              <w:rPr>
                <w:i/>
                <w:iCs/>
                <w:sz w:val="20"/>
                <w:szCs w:val="20"/>
              </w:rPr>
              <w:t xml:space="preserve"> uniquement aux étudiant.es inscrit.es dans le DU</w:t>
            </w:r>
            <w:r>
              <w:rPr>
                <w:sz w:val="20"/>
                <w:szCs w:val="20"/>
              </w:rPr>
            </w:r>
          </w:p>
        </w:tc>
        <w:tc>
          <w:tcPr>
            <w:tcBorders/>
            <w:tcW w:w="1275" w:type="dxa"/>
            <w:textDirection w:val="lrTb"/>
            <w:noWrap w:val="false"/>
          </w:tcPr>
          <w:p>
            <w:pPr>
              <w:pStyle w:val="1065"/>
              <w:pBdr/>
              <w:spacing/>
              <w:ind/>
              <w:rPr/>
            </w:pPr>
            <w:r>
              <w:t xml:space="preserve">8 TD</w:t>
            </w:r>
            <w:r/>
          </w:p>
        </w:tc>
        <w:tc>
          <w:tcPr>
            <w:tcBorders/>
            <w:tcW w:w="709" w:type="dxa"/>
            <w:textDirection w:val="lrTb"/>
            <w:noWrap w:val="false"/>
          </w:tcPr>
          <w:p>
            <w:pPr>
              <w:pStyle w:val="1065"/>
              <w:pBdr/>
              <w:spacing/>
              <w:ind/>
              <w:rPr/>
            </w:pPr>
            <w:r>
              <w:t xml:space="preserve"> </w:t>
            </w:r>
            <w:r/>
          </w:p>
        </w:tc>
      </w:tr>
      <w:tr>
        <w:trPr>
          <w:trHeight w:val="278"/>
        </w:trPr>
        <w:tc>
          <w:tcPr>
            <w:shd w:val="clear" w:color="auto" w:fill="f2f2f2" w:themeFill="background1" w:themeFillShade="F2"/>
            <w:tcBorders/>
            <w:tcW w:w="709" w:type="dxa"/>
            <w:textDirection w:val="lrTb"/>
            <w:noWrap w:val="false"/>
          </w:tcPr>
          <w:p>
            <w:pPr>
              <w:pStyle w:val="1065"/>
              <w:pBdr/>
              <w:spacing/>
              <w:ind/>
              <w:rPr/>
            </w:pPr>
            <w:r/>
            <w:r/>
          </w:p>
        </w:tc>
        <w:tc>
          <w:tcPr>
            <w:shd w:val="clear" w:color="auto" w:fill="f2f2f2" w:themeFill="background1" w:themeFillShade="F2"/>
            <w:tcBorders/>
            <w:tcW w:w="7650" w:type="dxa"/>
            <w:textDirection w:val="lrTb"/>
            <w:noWrap w:val="false"/>
          </w:tcPr>
          <w:p>
            <w:pPr>
              <w:pStyle w:val="1065"/>
              <w:pBdr/>
              <w:spacing/>
              <w:ind/>
              <w:rPr>
                <w:b/>
                <w:i/>
              </w:rPr>
            </w:pPr>
            <w:r>
              <w:rPr>
                <w:b/>
                <w:i/>
              </w:rPr>
              <w:t xml:space="preserve">THÉÂTRE</w:t>
            </w:r>
            <w:r>
              <w:rPr>
                <w:b/>
                <w:i/>
              </w:rPr>
            </w:r>
          </w:p>
        </w:tc>
        <w:tc>
          <w:tcPr>
            <w:shd w:val="clear" w:color="auto" w:fill="f2f2f2" w:themeFill="background1" w:themeFillShade="F2"/>
            <w:tcBorders/>
            <w:tcW w:w="1275" w:type="dxa"/>
            <w:textDirection w:val="lrTb"/>
            <w:noWrap w:val="false"/>
          </w:tcPr>
          <w:p>
            <w:pPr>
              <w:pStyle w:val="1065"/>
              <w:pBdr/>
              <w:spacing/>
              <w:ind/>
              <w:rPr>
                <w:b/>
              </w:rPr>
            </w:pPr>
            <w:r>
              <w:rPr>
                <w:b/>
              </w:rPr>
            </w:r>
            <w:r>
              <w:rPr>
                <w:b/>
              </w:rPr>
            </w:r>
          </w:p>
        </w:tc>
        <w:tc>
          <w:tcPr>
            <w:shd w:val="clear" w:color="auto" w:fill="f2f2f2" w:themeFill="background1" w:themeFillShade="F2"/>
            <w:tcBorders/>
            <w:tcW w:w="709" w:type="dxa"/>
            <w:textDirection w:val="lrTb"/>
            <w:noWrap w:val="false"/>
          </w:tcPr>
          <w:p>
            <w:pPr>
              <w:pStyle w:val="1065"/>
              <w:pBdr/>
              <w:spacing/>
              <w:ind/>
              <w:rPr>
                <w:b/>
              </w:rPr>
            </w:pPr>
            <w:r>
              <w:rPr>
                <w:b/>
              </w:rPr>
              <w:t xml:space="preserve"> </w:t>
            </w:r>
            <w:r>
              <w:rPr>
                <w:b/>
              </w:rPr>
            </w:r>
          </w:p>
        </w:tc>
      </w:tr>
      <w:tr>
        <w:trPr>
          <w:trHeight w:val="278"/>
        </w:trPr>
        <w:tc>
          <w:tcPr>
            <w:tcBorders/>
            <w:tcW w:w="709" w:type="dxa"/>
            <w:textDirection w:val="lrTb"/>
            <w:noWrap w:val="false"/>
          </w:tcPr>
          <w:p>
            <w:pPr>
              <w:pStyle w:val="1065"/>
              <w:pBdr/>
              <w:spacing/>
              <w:ind/>
              <w:rPr/>
            </w:pPr>
            <w:r>
              <w:t xml:space="preserve">3.9.</w:t>
            </w:r>
            <w:r/>
          </w:p>
        </w:tc>
        <w:tc>
          <w:tcPr>
            <w:tcBorders/>
            <w:tcW w:w="7650" w:type="dxa"/>
            <w:textDirection w:val="lrTb"/>
            <w:noWrap w:val="false"/>
          </w:tcPr>
          <w:p>
            <w:pPr>
              <w:pStyle w:val="1065"/>
              <w:pBdr/>
              <w:spacing/>
              <w:ind/>
              <w:rPr>
                <w:rStyle w:val="1085"/>
                <w:b/>
                <w:bCs/>
              </w:rPr>
            </w:pPr>
            <w:r>
              <w:rPr>
                <w:b/>
                <w:bCs/>
              </w:rPr>
              <w:fldChar w:fldCharType="begin"/>
            </w:r>
            <w:r>
              <w:rPr>
                <w:b/>
                <w:bCs/>
              </w:rPr>
              <w:instrText xml:space="preserve"> HYPERLINK  \l "_3.9._Histoire_du" </w:instrText>
            </w:r>
            <w:r>
              <w:rPr>
                <w:b/>
                <w:bCs/>
              </w:rPr>
              <w:fldChar w:fldCharType="separate"/>
            </w:r>
            <w:r>
              <w:rPr>
                <w:rStyle w:val="1085"/>
                <w:b/>
                <w:bCs/>
              </w:rPr>
              <w:t xml:space="preserve">Histoire du théâtre d'enfance et de jeunesse </w:t>
            </w:r>
            <w:r>
              <w:rPr>
                <w:rStyle w:val="1085"/>
                <w:b/>
                <w:bCs/>
              </w:rPr>
            </w:r>
          </w:p>
          <w:p>
            <w:pPr>
              <w:pStyle w:val="1065"/>
              <w:pBdr/>
              <w:spacing/>
              <w:ind/>
              <w:rPr/>
            </w:pPr>
            <w:r>
              <w:rPr>
                <w:b/>
                <w:bCs/>
              </w:rPr>
              <w:fldChar w:fldCharType="end"/>
            </w:r>
            <w:r>
              <w:t xml:space="preserve">Marine WISNIEWSKI </w:t>
            </w:r>
            <w:r/>
          </w:p>
          <w:p>
            <w:pPr>
              <w:pStyle w:val="1065"/>
              <w:pBdr/>
              <w:spacing/>
              <w:ind/>
              <w:rPr>
                <w:sz w:val="20"/>
                <w:szCs w:val="20"/>
              </w:rPr>
            </w:pPr>
            <w:r>
              <w:rPr>
                <w:i/>
                <w:iCs/>
                <w:sz w:val="20"/>
                <w:szCs w:val="20"/>
              </w:rPr>
              <w:t xml:space="preserve">dédié</w:t>
            </w:r>
            <w:r>
              <w:rPr>
                <w:i/>
                <w:iCs/>
                <w:sz w:val="20"/>
                <w:szCs w:val="20"/>
              </w:rPr>
              <w:t xml:space="preserve"> uniquement aux étudiant.es inscrit.es dans le DU</w:t>
            </w:r>
            <w:r>
              <w:rPr>
                <w:sz w:val="20"/>
                <w:szCs w:val="20"/>
              </w:rPr>
            </w:r>
          </w:p>
        </w:tc>
        <w:tc>
          <w:tcPr>
            <w:tcBorders/>
            <w:tcW w:w="1275" w:type="dxa"/>
            <w:textDirection w:val="lrTb"/>
            <w:noWrap w:val="false"/>
          </w:tcPr>
          <w:p>
            <w:pPr>
              <w:pStyle w:val="1065"/>
              <w:pBdr/>
              <w:spacing/>
              <w:ind/>
              <w:rPr/>
            </w:pPr>
            <w:r>
              <w:t xml:space="preserve">4 CM</w:t>
            </w:r>
            <w:r/>
          </w:p>
        </w:tc>
        <w:tc>
          <w:tcPr>
            <w:tcBorders/>
            <w:tcW w:w="709" w:type="dxa"/>
            <w:textDirection w:val="lrTb"/>
            <w:noWrap w:val="false"/>
          </w:tcPr>
          <w:p>
            <w:pPr>
              <w:pStyle w:val="1065"/>
              <w:pBdr/>
              <w:spacing/>
              <w:ind/>
              <w:rPr/>
            </w:pPr>
            <w:r/>
            <w:r/>
          </w:p>
        </w:tc>
      </w:tr>
      <w:tr>
        <w:trPr>
          <w:trHeight w:val="278"/>
        </w:trPr>
        <w:tc>
          <w:tcPr>
            <w:tcBorders/>
            <w:tcW w:w="709" w:type="dxa"/>
            <w:textDirection w:val="lrTb"/>
            <w:noWrap w:val="false"/>
          </w:tcPr>
          <w:p>
            <w:pPr>
              <w:pStyle w:val="1065"/>
              <w:pBdr/>
              <w:spacing/>
              <w:ind/>
              <w:rPr/>
            </w:pPr>
            <w:r>
              <w:t xml:space="preserve">3.10.</w:t>
            </w:r>
            <w:r/>
          </w:p>
        </w:tc>
        <w:tc>
          <w:tcPr>
            <w:tcBorders/>
            <w:tcW w:w="7650" w:type="dxa"/>
            <w:textDirection w:val="lrTb"/>
            <w:noWrap w:val="false"/>
          </w:tcPr>
          <w:p>
            <w:pPr>
              <w:pStyle w:val="1065"/>
              <w:pBdr/>
              <w:spacing/>
              <w:ind/>
              <w:rPr>
                <w:b/>
                <w:bCs/>
              </w:rPr>
            </w:pPr>
            <w:r/>
            <w:hyperlink w:tooltip="#_3.10.__Théâtre" w:anchor="_3.10.__Théâtre" w:history="1">
              <w:r>
                <w:rPr>
                  <w:rStyle w:val="1085"/>
                  <w:b/>
                  <w:bCs/>
                </w:rPr>
                <w:t xml:space="preserve">Théâtre jeune public</w:t>
              </w:r>
            </w:hyperlink>
            <w:r/>
            <w:r>
              <w:rPr>
                <w:b/>
                <w:bCs/>
              </w:rPr>
            </w:r>
          </w:p>
          <w:p>
            <w:pPr>
              <w:pStyle w:val="1065"/>
              <w:pBdr/>
              <w:spacing/>
              <w:ind/>
              <w:rPr/>
            </w:pPr>
            <w:r>
              <w:t xml:space="preserve">Catherine AILLOUD-NICOLAS</w:t>
            </w:r>
            <w:r/>
          </w:p>
          <w:p>
            <w:pPr>
              <w:pStyle w:val="1065"/>
              <w:pBdr/>
              <w:spacing/>
              <w:ind/>
              <w:rPr>
                <w:sz w:val="20"/>
                <w:szCs w:val="20"/>
              </w:rPr>
            </w:pPr>
            <w:r>
              <w:rPr>
                <w:i/>
                <w:iCs/>
                <w:sz w:val="20"/>
                <w:szCs w:val="20"/>
              </w:rPr>
              <w:t xml:space="preserve">dédié</w:t>
            </w:r>
            <w:r>
              <w:rPr>
                <w:i/>
                <w:iCs/>
                <w:sz w:val="20"/>
                <w:szCs w:val="20"/>
              </w:rPr>
              <w:t xml:space="preserve"> aux étudiant.es inscrit.es dans le DU et aux élèves de la Comédie de Saint-Étienne</w:t>
            </w:r>
            <w:r>
              <w:rPr>
                <w:sz w:val="20"/>
                <w:szCs w:val="20"/>
              </w:rPr>
            </w:r>
          </w:p>
        </w:tc>
        <w:tc>
          <w:tcPr>
            <w:tcBorders/>
            <w:tcW w:w="1275" w:type="dxa"/>
            <w:textDirection w:val="lrTb"/>
            <w:noWrap w:val="false"/>
          </w:tcPr>
          <w:p>
            <w:pPr>
              <w:pStyle w:val="1065"/>
              <w:pBdr/>
              <w:spacing/>
              <w:ind/>
              <w:rPr/>
            </w:pPr>
            <w:r>
              <w:t xml:space="preserve">4 CM</w:t>
            </w:r>
            <w:r/>
          </w:p>
        </w:tc>
        <w:tc>
          <w:tcPr>
            <w:tcBorders/>
            <w:tcW w:w="709" w:type="dxa"/>
            <w:textDirection w:val="lrTb"/>
            <w:noWrap w:val="false"/>
          </w:tcPr>
          <w:p>
            <w:pPr>
              <w:pStyle w:val="1065"/>
              <w:pBdr/>
              <w:spacing/>
              <w:ind/>
              <w:rPr/>
            </w:pPr>
            <w:r/>
            <w:r/>
          </w:p>
        </w:tc>
      </w:tr>
      <w:tr>
        <w:trPr>
          <w:trHeight w:val="278"/>
        </w:trPr>
        <w:tc>
          <w:tcPr>
            <w:tcBorders/>
            <w:tcW w:w="709" w:type="dxa"/>
            <w:textDirection w:val="lrTb"/>
            <w:noWrap w:val="false"/>
          </w:tcPr>
          <w:p>
            <w:pPr>
              <w:pStyle w:val="1065"/>
              <w:pBdr/>
              <w:spacing/>
              <w:ind/>
              <w:rPr/>
            </w:pPr>
            <w:r>
              <w:t xml:space="preserve">3.11.</w:t>
            </w:r>
            <w:r/>
          </w:p>
        </w:tc>
        <w:tc>
          <w:tcPr>
            <w:tcBorders/>
            <w:tcW w:w="7650" w:type="dxa"/>
            <w:textDirection w:val="lrTb"/>
            <w:noWrap w:val="false"/>
          </w:tcPr>
          <w:p>
            <w:pPr>
              <w:pStyle w:val="1065"/>
              <w:pBdr/>
              <w:spacing/>
              <w:ind/>
              <w:rPr>
                <w:b/>
                <w:bCs/>
              </w:rPr>
            </w:pPr>
            <w:r/>
            <w:hyperlink r:id="rId20" w:tooltip="%20#_3.11._Formation_" w:anchor="_3.11._Formation_" w:history="1">
              <w:r>
                <w:rPr>
                  <w:rStyle w:val="1085"/>
                  <w:b/>
                  <w:bCs/>
                </w:rPr>
                <w:t xml:space="preserve">Formation « Passeurs et passeuses d'art » à la Comédie</w:t>
              </w:r>
            </w:hyperlink>
            <w:r>
              <w:rPr>
                <w:b/>
                <w:bCs/>
              </w:rPr>
              <w:t xml:space="preserve"> </w:t>
            </w:r>
            <w:r>
              <w:rPr>
                <w:b/>
                <w:bCs/>
              </w:rPr>
            </w:r>
          </w:p>
          <w:p>
            <w:pPr>
              <w:pStyle w:val="1065"/>
              <w:pBdr/>
              <w:spacing/>
              <w:ind/>
              <w:rPr/>
            </w:pPr>
            <w:r>
              <w:t xml:space="preserve">éq</w:t>
            </w:r>
            <w:r>
              <w:t xml:space="preserve">uipe</w:t>
            </w:r>
            <w:r>
              <w:t xml:space="preserve"> Comédie de Saint-Étienne</w:t>
            </w:r>
            <w:r/>
          </w:p>
          <w:p>
            <w:pPr>
              <w:pStyle w:val="1065"/>
              <w:pBdr/>
              <w:spacing/>
              <w:ind/>
              <w:rPr>
                <w:sz w:val="20"/>
                <w:szCs w:val="20"/>
              </w:rPr>
            </w:pPr>
            <w:r>
              <w:rPr>
                <w:i/>
                <w:iCs/>
                <w:sz w:val="20"/>
                <w:szCs w:val="20"/>
              </w:rPr>
              <w:t xml:space="preserve">dédié</w:t>
            </w:r>
            <w:r>
              <w:rPr>
                <w:i/>
                <w:iCs/>
                <w:sz w:val="20"/>
                <w:szCs w:val="20"/>
              </w:rPr>
              <w:t xml:space="preserve"> uniquement aux étudiant.es inscrit.es dans le DU</w:t>
            </w:r>
            <w:r>
              <w:rPr>
                <w:sz w:val="20"/>
                <w:szCs w:val="20"/>
              </w:rPr>
            </w:r>
          </w:p>
        </w:tc>
        <w:tc>
          <w:tcPr>
            <w:tcBorders/>
            <w:tcW w:w="1275" w:type="dxa"/>
            <w:textDirection w:val="lrTb"/>
            <w:noWrap w:val="false"/>
          </w:tcPr>
          <w:p>
            <w:pPr>
              <w:pStyle w:val="1065"/>
              <w:pBdr/>
              <w:spacing/>
              <w:ind/>
              <w:rPr/>
            </w:pPr>
            <w:r>
              <w:t xml:space="preserve">10 TD</w:t>
            </w:r>
            <w:r/>
          </w:p>
        </w:tc>
        <w:tc>
          <w:tcPr>
            <w:tcBorders/>
            <w:tcW w:w="709" w:type="dxa"/>
            <w:textDirection w:val="lrTb"/>
            <w:noWrap w:val="false"/>
          </w:tcPr>
          <w:p>
            <w:pPr>
              <w:pStyle w:val="1065"/>
              <w:pBdr/>
              <w:spacing/>
              <w:ind/>
              <w:rPr/>
            </w:pPr>
            <w:r/>
            <w:r/>
          </w:p>
        </w:tc>
      </w:tr>
      <w:tr>
        <w:trPr>
          <w:trHeight w:val="278"/>
        </w:trPr>
        <w:tc>
          <w:tcPr>
            <w:tcBorders/>
            <w:tcW w:w="709" w:type="dxa"/>
            <w:textDirection w:val="lrTb"/>
            <w:noWrap w:val="false"/>
          </w:tcPr>
          <w:p>
            <w:pPr>
              <w:pStyle w:val="1065"/>
              <w:pBdr/>
              <w:spacing/>
              <w:ind/>
              <w:rPr/>
            </w:pPr>
            <w:r>
              <w:t xml:space="preserve">3.12.</w:t>
            </w:r>
            <w:r/>
          </w:p>
        </w:tc>
        <w:tc>
          <w:tcPr>
            <w:tcBorders/>
            <w:tcW w:w="7650" w:type="dxa"/>
            <w:textDirection w:val="lrTb"/>
            <w:noWrap w:val="false"/>
          </w:tcPr>
          <w:p>
            <w:pPr>
              <w:pStyle w:val="1065"/>
              <w:pBdr/>
              <w:spacing/>
              <w:ind/>
              <w:rPr>
                <w:b/>
                <w:bCs/>
              </w:rPr>
            </w:pPr>
            <w:r/>
            <w:hyperlink w:tooltip="#_3.12.__Spectacle" w:anchor="_3.12.__Spectacle" w:history="1">
              <w:r>
                <w:rPr>
                  <w:rStyle w:val="1085"/>
                  <w:b/>
                  <w:bCs/>
                </w:rPr>
                <w:t xml:space="preserve">Spectacle</w:t>
              </w:r>
              <w:r>
                <w:rPr>
                  <w:rStyle w:val="1085"/>
                  <w:b/>
                  <w:bCs/>
                  <w:spacing w:val="-6"/>
                </w:rPr>
                <w:t xml:space="preserve"> </w:t>
              </w:r>
              <w:r>
                <w:rPr>
                  <w:rStyle w:val="1085"/>
                  <w:b/>
                  <w:bCs/>
                </w:rPr>
                <w:t xml:space="preserve">jeune</w:t>
              </w:r>
              <w:r>
                <w:rPr>
                  <w:rStyle w:val="1085"/>
                  <w:b/>
                  <w:bCs/>
                  <w:spacing w:val="-6"/>
                </w:rPr>
                <w:t xml:space="preserve"> </w:t>
              </w:r>
              <w:r>
                <w:rPr>
                  <w:rStyle w:val="1085"/>
                  <w:b/>
                  <w:bCs/>
                </w:rPr>
                <w:t xml:space="preserve">public</w:t>
              </w:r>
              <w:r>
                <w:rPr>
                  <w:rStyle w:val="1085"/>
                  <w:b/>
                  <w:bCs/>
                  <w:spacing w:val="-6"/>
                </w:rPr>
                <w:t xml:space="preserve"> </w:t>
              </w:r>
              <w:r>
                <w:rPr>
                  <w:rStyle w:val="1085"/>
                  <w:b/>
                  <w:bCs/>
                </w:rPr>
                <w:t xml:space="preserve">à</w:t>
              </w:r>
              <w:r>
                <w:rPr>
                  <w:rStyle w:val="1085"/>
                  <w:b/>
                  <w:bCs/>
                  <w:spacing w:val="-6"/>
                </w:rPr>
                <w:t xml:space="preserve"> </w:t>
              </w:r>
              <w:r>
                <w:rPr>
                  <w:rStyle w:val="1085"/>
                  <w:b/>
                  <w:bCs/>
                </w:rPr>
                <w:t xml:space="preserve">la</w:t>
              </w:r>
              <w:r>
                <w:rPr>
                  <w:rStyle w:val="1085"/>
                  <w:b/>
                  <w:bCs/>
                  <w:spacing w:val="-6"/>
                </w:rPr>
                <w:t xml:space="preserve"> </w:t>
              </w:r>
              <w:r>
                <w:rPr>
                  <w:rStyle w:val="1085"/>
                  <w:b/>
                  <w:bCs/>
                </w:rPr>
                <w:t xml:space="preserve">Comédie</w:t>
              </w:r>
              <w:r>
                <w:rPr>
                  <w:rStyle w:val="1085"/>
                  <w:b/>
                  <w:bCs/>
                  <w:spacing w:val="-6"/>
                </w:rPr>
                <w:t xml:space="preserve"> </w:t>
              </w:r>
              <w:r>
                <w:rPr>
                  <w:rStyle w:val="1085"/>
                  <w:b/>
                  <w:bCs/>
                </w:rPr>
                <w:t xml:space="preserve">Saint-Étienne</w:t>
              </w:r>
            </w:hyperlink>
            <w:r>
              <w:rPr>
                <w:b/>
                <w:bCs/>
              </w:rPr>
              <w:t xml:space="preserve"> </w:t>
            </w:r>
            <w:r>
              <w:rPr>
                <w:b/>
                <w:bCs/>
              </w:rPr>
            </w:r>
          </w:p>
          <w:p>
            <w:pPr>
              <w:pStyle w:val="1065"/>
              <w:pBdr/>
              <w:spacing/>
              <w:ind/>
              <w:rPr/>
            </w:pPr>
            <w:r>
              <w:t xml:space="preserve">équipe Comédie de Saint-Étienne</w:t>
            </w:r>
            <w:r/>
          </w:p>
          <w:p>
            <w:pPr>
              <w:pStyle w:val="1065"/>
              <w:pBdr/>
              <w:spacing/>
              <w:ind/>
              <w:rPr>
                <w:sz w:val="20"/>
                <w:szCs w:val="20"/>
              </w:rPr>
            </w:pPr>
            <w:r>
              <w:rPr>
                <w:i/>
                <w:iCs/>
                <w:sz w:val="20"/>
                <w:szCs w:val="20"/>
              </w:rPr>
              <w:t xml:space="preserve">dédié</w:t>
            </w:r>
            <w:r>
              <w:rPr>
                <w:i/>
                <w:iCs/>
                <w:sz w:val="20"/>
                <w:szCs w:val="20"/>
              </w:rPr>
              <w:t xml:space="preserve"> uniquem</w:t>
            </w:r>
            <w:r>
              <w:rPr>
                <w:i/>
                <w:iCs/>
                <w:sz w:val="20"/>
                <w:szCs w:val="20"/>
              </w:rPr>
              <w:t xml:space="preserve">ent aux étudiant.es inscrit.es dans le DU</w:t>
            </w:r>
            <w:r>
              <w:rPr>
                <w:sz w:val="20"/>
                <w:szCs w:val="20"/>
              </w:rPr>
            </w:r>
          </w:p>
        </w:tc>
        <w:tc>
          <w:tcPr>
            <w:tcBorders/>
            <w:tcW w:w="1275" w:type="dxa"/>
            <w:textDirection w:val="lrTb"/>
            <w:noWrap w:val="false"/>
          </w:tcPr>
          <w:p>
            <w:pPr>
              <w:pStyle w:val="1065"/>
              <w:pBdr/>
              <w:spacing/>
              <w:ind/>
              <w:rPr/>
            </w:pPr>
            <w:r>
              <w:t xml:space="preserve">3 TD</w:t>
            </w:r>
            <w:r/>
          </w:p>
        </w:tc>
        <w:tc>
          <w:tcPr>
            <w:tcBorders/>
            <w:tcW w:w="709" w:type="dxa"/>
            <w:textDirection w:val="lrTb"/>
            <w:noWrap w:val="false"/>
          </w:tcPr>
          <w:p>
            <w:pPr>
              <w:pStyle w:val="1065"/>
              <w:pBdr/>
              <w:spacing/>
              <w:ind/>
              <w:rPr/>
            </w:pPr>
            <w:r/>
            <w:r/>
          </w:p>
        </w:tc>
      </w:tr>
    </w:tbl>
    <w:p>
      <w:pPr>
        <w:pBdr/>
        <w:spacing/>
        <w:ind/>
        <w:rPr/>
      </w:pPr>
      <w:r/>
      <w:r/>
    </w:p>
    <w:p>
      <w:pPr>
        <w:pBdr/>
        <w:spacing/>
        <w:ind/>
        <w:rPr>
          <w:rFonts w:eastAsia="Arial" w:cs="Barlow Light"/>
          <w:b/>
          <w:color w:val="000000" w:themeColor="text1"/>
          <w:sz w:val="28"/>
          <w:szCs w:val="28"/>
        </w:rPr>
      </w:pPr>
      <w:r>
        <w:br w:type="page" w:clear="all"/>
      </w:r>
      <w:r>
        <w:rPr>
          <w:rFonts w:eastAsia="Arial" w:cs="Barlow Light"/>
          <w:b/>
          <w:color w:val="000000" w:themeColor="text1"/>
          <w:sz w:val="28"/>
          <w:szCs w:val="28"/>
        </w:rPr>
      </w:r>
    </w:p>
    <w:p>
      <w:pPr>
        <w:pStyle w:val="892"/>
        <w:pBdr/>
        <w:spacing/>
        <w:ind/>
        <w:rPr/>
      </w:pPr>
      <w:r/>
      <w:bookmarkStart w:id="25" w:name="_Toc177566459"/>
      <w:r>
        <w:t xml:space="preserve">Descriptifs des cours</w:t>
      </w:r>
      <w:bookmarkEnd w:id="25"/>
      <w:r/>
      <w:r/>
    </w:p>
    <w:p>
      <w:pPr>
        <w:pStyle w:val="892"/>
        <w:pBdr/>
        <w:spacing/>
        <w:ind/>
        <w:rPr>
          <w:rFonts w:cs="Barlow"/>
        </w:rPr>
      </w:pPr>
      <w:r/>
      <w:bookmarkStart w:id="26" w:name="_MODULE_TRANSVERSAL_:"/>
      <w:r/>
      <w:bookmarkStart w:id="27" w:name="_Toc177566460"/>
      <w:r/>
      <w:bookmarkEnd w:id="26"/>
      <w:r>
        <w:rPr>
          <w:rFonts w:eastAsia="Barlow" w:cs="Barlow"/>
        </w:rPr>
        <w:t xml:space="preserve">MODULE TRANSVERSAL : ART ET ENFANCE</w:t>
      </w:r>
      <w:bookmarkEnd w:id="27"/>
      <w:r/>
      <w:r>
        <w:rPr>
          <w:rFonts w:cs="Barlow"/>
        </w:rPr>
      </w:r>
    </w:p>
    <w:p>
      <w:pPr>
        <w:pStyle w:val="893"/>
        <w:pBdr/>
        <w:spacing w:after="170"/>
        <w:ind/>
        <w:rPr/>
      </w:pPr>
      <w:r/>
      <w:bookmarkStart w:id="28" w:name="_1.1._Art_et"/>
      <w:r/>
      <w:bookmarkStart w:id="29" w:name="_Toc177566461"/>
      <w:r/>
      <w:bookmarkEnd w:id="28"/>
      <w:r>
        <w:rPr>
          <w:bCs w:val="0"/>
        </w:rPr>
        <w:t xml:space="preserve">1.</w:t>
      </w:r>
      <w:r>
        <w:t xml:space="preserve">1. Art et enfance : regard historique et épistémologique</w:t>
      </w:r>
      <w:bookmarkEnd w:id="29"/>
      <w:r/>
      <w:r/>
    </w:p>
    <w:p>
      <w:pPr>
        <w:pStyle w:val="1084"/>
        <w:keepNext w:val="true"/>
        <w:numPr>
          <w:ilvl w:val="0"/>
          <w:numId w:val="4"/>
        </w:numPr>
        <w:pBdr/>
        <w:tabs>
          <w:tab w:val="left" w:leader="none" w:pos="9724"/>
        </w:tabs>
        <w:spacing w:after="0" w:line="240" w:lineRule="auto"/>
        <w:ind w:right="567" w:left="0"/>
        <w:jc w:val="both"/>
        <w:rPr>
          <w:b/>
        </w:rPr>
      </w:pPr>
      <w:r>
        <w:rPr>
          <w:b/>
          <w:i/>
          <w:iCs/>
        </w:rPr>
        <w:t xml:space="preserve">Images en chansons et chansons en images, 1863-1939 </w:t>
      </w:r>
      <w:r>
        <w:rPr>
          <w:b/>
        </w:rPr>
      </w:r>
    </w:p>
    <w:p>
      <w:pPr>
        <w:keepNext w:val="true"/>
        <w:pBdr/>
        <w:tabs>
          <w:tab w:val="left" w:leader="none" w:pos="9724"/>
        </w:tabs>
        <w:spacing w:after="113" w:line="240" w:lineRule="auto"/>
        <w:ind w:right="567"/>
        <w:jc w:val="both"/>
        <w:rPr/>
      </w:pPr>
      <w:r>
        <w:rPr>
          <w:b/>
        </w:rPr>
        <w:t xml:space="preserve">p</w:t>
      </w:r>
      <w:r>
        <w:rPr>
          <w:b/>
          <w:bCs/>
        </w:rPr>
        <w:t xml:space="preserve">ar</w:t>
      </w:r>
      <w:r>
        <w:rPr>
          <w:b/>
          <w:bCs/>
        </w:rPr>
        <w:t xml:space="preserve"> Cécile PICHON-BONIN</w:t>
      </w:r>
      <w:r/>
    </w:p>
    <w:p>
      <w:pPr>
        <w:pBdr>
          <w:top w:val="none" w:color="000000" w:sz="4" w:space="0"/>
          <w:left w:val="none" w:color="000000" w:sz="4" w:space="0"/>
          <w:bottom w:val="none" w:color="000000" w:sz="4" w:space="0"/>
          <w:right w:val="none" w:color="000000" w:sz="4" w:space="0"/>
        </w:pBdr>
        <w:spacing/>
        <w:ind/>
        <w:jc w:val="both"/>
        <w:rPr/>
      </w:pPr>
      <w:r>
        <w:rPr>
          <w:color w:val="000000"/>
        </w:rPr>
        <w:t xml:space="preserve">Cette partie de l’enseignement se concentre sur les rapports entre image et chansons pour enfants, à travers l’étude du livre illustré. Dès le XIXe siècle, des efforts sont en effet mis en œuvre pour fixer le répertoire de chansons enfantines et l’image es</w:t>
      </w:r>
      <w:r>
        <w:rPr>
          <w:color w:val="000000"/>
        </w:rPr>
        <w:t xml:space="preserve">t rapidement convoquée pour accompagner la diffusion de ces chants, qu’ils soient traditionnels ou créés spécifiquement pour ce public spécifique. L’analyse des livres de chansons illustrés requièrent donc une approche interdisciplinaire associant iconogra</w:t>
      </w:r>
      <w:r>
        <w:rPr>
          <w:color w:val="000000"/>
        </w:rPr>
        <w:t xml:space="preserve">phie musicale, histoire de la musique, du livre illustré et des sensibilités, études </w:t>
      </w:r>
      <w:r>
        <w:rPr>
          <w:color w:val="000000"/>
        </w:rPr>
        <w:t xml:space="preserve">intermédiales</w:t>
      </w:r>
      <w:r>
        <w:rPr>
          <w:color w:val="000000"/>
        </w:rPr>
        <w:t xml:space="preserve">. Le cours répond à un double objectif d’apport de connaissances et d’apprentissage méthodologique. D’une part, nous définirons ensemble les différentes fonct</w:t>
      </w:r>
      <w:r>
        <w:rPr>
          <w:color w:val="000000"/>
        </w:rPr>
        <w:t xml:space="preserve">ions et significations de l’image dans ces supports. D’autre part, nous aborderons la méthode de l’analyse de l’image qui pourra être ensuite appliquée à tous les supports (illustrations mais aussi affiches et pochettes de disques par exemple).</w:t>
      </w:r>
      <w:r/>
    </w:p>
    <w:p>
      <w:pPr>
        <w:pBdr/>
        <w:spacing w:after="0"/>
        <w:ind/>
        <w:jc w:val="both"/>
        <w:rPr>
          <w:sz w:val="20"/>
          <w:szCs w:val="20"/>
        </w:rPr>
      </w:pPr>
      <w:r>
        <w:rPr>
          <w:sz w:val="20"/>
          <w:szCs w:val="20"/>
        </w:rPr>
        <w:t xml:space="preserve">Alten</w:t>
      </w:r>
      <w:r>
        <w:rPr>
          <w:sz w:val="20"/>
          <w:szCs w:val="20"/>
        </w:rPr>
        <w:t xml:space="preserve"> Michèle, « Un siècle d'enseignement musical à l'école primaire », </w:t>
      </w:r>
      <w:r>
        <w:rPr>
          <w:i/>
          <w:sz w:val="20"/>
          <w:szCs w:val="20"/>
        </w:rPr>
        <w:t xml:space="preserve">Vingtième Siècle, revue d'histoire</w:t>
      </w:r>
      <w:r>
        <w:rPr>
          <w:sz w:val="20"/>
          <w:szCs w:val="20"/>
        </w:rPr>
        <w:t xml:space="preserve">, n°55, juillet-septembre 1997, p. 3-15, </w:t>
      </w:r>
      <w:hyperlink r:id="rId21" w:tooltip="https://www.persee.fr/doc/xxs_0294-1759_1997_num_55_1_3659" w:history="1">
        <w:r>
          <w:rPr>
            <w:rStyle w:val="1085"/>
            <w:sz w:val="20"/>
            <w:szCs w:val="20"/>
          </w:rPr>
          <w:t xml:space="preserve">https://www.persee.fr/doc/xxs_0294-1759_1997_num_55_1_3659</w:t>
        </w:r>
      </w:hyperlink>
      <w:r>
        <w:rPr>
          <w:sz w:val="20"/>
          <w:szCs w:val="20"/>
        </w:rPr>
        <w:t xml:space="preserve">, consulté le 11 décembre 2020.</w:t>
      </w:r>
      <w:r>
        <w:rPr>
          <w:sz w:val="20"/>
          <w:szCs w:val="20"/>
        </w:rPr>
      </w:r>
    </w:p>
    <w:p>
      <w:pPr>
        <w:pBdr/>
        <w:spacing w:after="0"/>
        <w:ind/>
        <w:jc w:val="both"/>
        <w:rPr>
          <w:sz w:val="20"/>
          <w:szCs w:val="20"/>
        </w:rPr>
      </w:pPr>
      <w:r>
        <w:rPr>
          <w:sz w:val="20"/>
          <w:szCs w:val="20"/>
        </w:rPr>
        <w:t xml:space="preserve">Cousin, Bernard, </w:t>
      </w:r>
      <w:r>
        <w:rPr>
          <w:i/>
          <w:sz w:val="20"/>
          <w:szCs w:val="20"/>
        </w:rPr>
        <w:t xml:space="preserve">L’Enfant et la chanson : une histoire de la chanson d’enfant, </w:t>
      </w:r>
      <w:r>
        <w:rPr>
          <w:sz w:val="20"/>
          <w:szCs w:val="20"/>
        </w:rPr>
        <w:t xml:space="preserve">Paris, Messidor, 1988.</w:t>
      </w:r>
      <w:r>
        <w:rPr>
          <w:sz w:val="20"/>
          <w:szCs w:val="20"/>
        </w:rPr>
      </w:r>
    </w:p>
    <w:p>
      <w:pPr>
        <w:pBdr/>
        <w:spacing w:after="0"/>
        <w:ind/>
        <w:jc w:val="both"/>
        <w:rPr>
          <w:sz w:val="20"/>
          <w:szCs w:val="20"/>
        </w:rPr>
      </w:pPr>
      <w:r>
        <w:rPr>
          <w:sz w:val="20"/>
          <w:szCs w:val="20"/>
        </w:rPr>
        <w:t xml:space="preserve">Damon-Guillot, Anne et </w:t>
      </w:r>
      <w:r>
        <w:rPr>
          <w:sz w:val="20"/>
          <w:szCs w:val="20"/>
        </w:rPr>
        <w:t xml:space="preserve">Macaigne</w:t>
      </w:r>
      <w:r>
        <w:rPr>
          <w:sz w:val="20"/>
          <w:szCs w:val="20"/>
        </w:rPr>
        <w:t xml:space="preserve">, Emmanu</w:t>
      </w:r>
      <w:r>
        <w:rPr>
          <w:sz w:val="20"/>
          <w:szCs w:val="20"/>
        </w:rPr>
        <w:t xml:space="preserve">elle (</w:t>
      </w:r>
      <w:r>
        <w:rPr>
          <w:sz w:val="20"/>
          <w:szCs w:val="20"/>
        </w:rPr>
        <w:t xml:space="preserve">dir</w:t>
      </w:r>
      <w:r>
        <w:rPr>
          <w:sz w:val="20"/>
          <w:szCs w:val="20"/>
        </w:rPr>
        <w:t xml:space="preserve">.), </w:t>
      </w:r>
      <w:r>
        <w:rPr>
          <w:i/>
          <w:sz w:val="20"/>
          <w:szCs w:val="20"/>
        </w:rPr>
        <w:t xml:space="preserve">Eh bien, Chantez maintenant ! Chansons d’enfance, deux siècles d’un patrimoine vivant, </w:t>
      </w:r>
      <w:r>
        <w:rPr>
          <w:sz w:val="20"/>
          <w:szCs w:val="20"/>
        </w:rPr>
        <w:t xml:space="preserve">catalogue de l’exposition du Musée National de l’Éducation de Rouen, Canopé, 2022.</w:t>
      </w:r>
      <w:r>
        <w:rPr>
          <w:sz w:val="20"/>
          <w:szCs w:val="20"/>
        </w:rPr>
      </w:r>
    </w:p>
    <w:p>
      <w:pPr>
        <w:pBdr/>
        <w:spacing w:after="0"/>
        <w:ind/>
        <w:jc w:val="both"/>
        <w:rPr>
          <w:sz w:val="20"/>
          <w:szCs w:val="20"/>
        </w:rPr>
      </w:pPr>
      <w:r>
        <w:rPr>
          <w:sz w:val="20"/>
          <w:szCs w:val="20"/>
        </w:rPr>
        <w:t xml:space="preserve">Gaiotti</w:t>
      </w:r>
      <w:r>
        <w:rPr>
          <w:sz w:val="20"/>
          <w:szCs w:val="20"/>
        </w:rPr>
        <w:t xml:space="preserve">, Florence et </w:t>
      </w:r>
      <w:r>
        <w:rPr>
          <w:sz w:val="20"/>
          <w:szCs w:val="20"/>
        </w:rPr>
        <w:t xml:space="preserve">Hamaide</w:t>
      </w:r>
      <w:r>
        <w:rPr>
          <w:sz w:val="20"/>
          <w:szCs w:val="20"/>
        </w:rPr>
        <w:t xml:space="preserve">-Jager, </w:t>
      </w:r>
      <w:r>
        <w:rPr>
          <w:sz w:val="20"/>
          <w:szCs w:val="20"/>
        </w:rPr>
        <w:t xml:space="preserve">Eleonore</w:t>
      </w:r>
      <w:r>
        <w:rPr>
          <w:sz w:val="20"/>
          <w:szCs w:val="20"/>
        </w:rPr>
        <w:t xml:space="preserve"> (</w:t>
      </w:r>
      <w:r>
        <w:rPr>
          <w:sz w:val="20"/>
          <w:szCs w:val="20"/>
        </w:rPr>
        <w:t xml:space="preserve">dir</w:t>
      </w:r>
      <w:r>
        <w:rPr>
          <w:sz w:val="20"/>
          <w:szCs w:val="20"/>
        </w:rPr>
        <w:t xml:space="preserve">.), </w:t>
      </w:r>
      <w:r>
        <w:rPr>
          <w:i/>
          <w:sz w:val="20"/>
          <w:szCs w:val="20"/>
        </w:rPr>
        <w:t xml:space="preserve">La chanson dans la l</w:t>
      </w:r>
      <w:r>
        <w:rPr>
          <w:i/>
          <w:sz w:val="20"/>
          <w:szCs w:val="20"/>
        </w:rPr>
        <w:t xml:space="preserve">ittérature d’enfance et de jeunesse, </w:t>
      </w:r>
      <w:r>
        <w:rPr>
          <w:sz w:val="20"/>
          <w:szCs w:val="20"/>
        </w:rPr>
        <w:t xml:space="preserve">Arras, Artois Presse </w:t>
      </w:r>
      <w:r>
        <w:rPr>
          <w:sz w:val="20"/>
          <w:szCs w:val="20"/>
        </w:rPr>
        <w:t xml:space="preserve">Université,  2020</w:t>
      </w:r>
      <w:r>
        <w:rPr>
          <w:sz w:val="20"/>
          <w:szCs w:val="20"/>
        </w:rPr>
        <w:t xml:space="preserve">.</w:t>
      </w:r>
      <w:r>
        <w:rPr>
          <w:sz w:val="20"/>
          <w:szCs w:val="20"/>
        </w:rPr>
      </w:r>
    </w:p>
    <w:p>
      <w:pPr>
        <w:pBdr/>
        <w:spacing w:after="0"/>
        <w:ind/>
        <w:jc w:val="both"/>
        <w:rPr>
          <w:sz w:val="20"/>
          <w:szCs w:val="20"/>
        </w:rPr>
      </w:pPr>
      <w:r>
        <w:rPr>
          <w:sz w:val="20"/>
          <w:szCs w:val="20"/>
        </w:rPr>
        <w:t xml:space="preserve">Manson, Michel, « Les Chansons pour enfants deviennent des livres : du folklore à l’album de comptines », </w:t>
      </w:r>
      <w:r>
        <w:rPr>
          <w:i/>
          <w:sz w:val="20"/>
          <w:szCs w:val="20"/>
        </w:rPr>
        <w:t xml:space="preserve">in </w:t>
      </w:r>
      <w:r>
        <w:rPr>
          <w:sz w:val="20"/>
          <w:szCs w:val="20"/>
        </w:rPr>
        <w:t xml:space="preserve">S. </w:t>
      </w:r>
      <w:r>
        <w:rPr>
          <w:sz w:val="20"/>
          <w:szCs w:val="20"/>
        </w:rPr>
        <w:t xml:space="preserve">Rayna</w:t>
      </w:r>
      <w:r>
        <w:rPr>
          <w:sz w:val="20"/>
          <w:szCs w:val="20"/>
        </w:rPr>
        <w:t xml:space="preserve">, C. Séguret et C. Touchard (</w:t>
      </w:r>
      <w:r>
        <w:rPr>
          <w:sz w:val="20"/>
          <w:szCs w:val="20"/>
        </w:rPr>
        <w:t xml:space="preserve">dir</w:t>
      </w:r>
      <w:r>
        <w:rPr>
          <w:sz w:val="20"/>
          <w:szCs w:val="20"/>
        </w:rPr>
        <w:t xml:space="preserve">.), </w:t>
      </w:r>
      <w:r>
        <w:rPr>
          <w:i/>
          <w:sz w:val="20"/>
          <w:szCs w:val="20"/>
        </w:rPr>
        <w:t xml:space="preserve">Lire en chantant des album</w:t>
      </w:r>
      <w:r>
        <w:rPr>
          <w:i/>
          <w:sz w:val="20"/>
          <w:szCs w:val="20"/>
        </w:rPr>
        <w:t xml:space="preserve">s de comptines,</w:t>
      </w:r>
      <w:r>
        <w:rPr>
          <w:sz w:val="20"/>
          <w:szCs w:val="20"/>
        </w:rPr>
        <w:t xml:space="preserve"> Toulouse,</w:t>
      </w:r>
      <w:r>
        <w:rPr>
          <w:i/>
          <w:sz w:val="20"/>
          <w:szCs w:val="20"/>
        </w:rPr>
        <w:t xml:space="preserve"> </w:t>
      </w:r>
      <w:r>
        <w:rPr>
          <w:sz w:val="20"/>
          <w:szCs w:val="20"/>
        </w:rPr>
        <w:t xml:space="preserve">Erès</w:t>
      </w:r>
      <w:r>
        <w:rPr>
          <w:sz w:val="20"/>
          <w:szCs w:val="20"/>
        </w:rPr>
        <w:t xml:space="preserve">, 2015, p. 135-156.</w:t>
      </w:r>
      <w:r>
        <w:rPr>
          <w:sz w:val="20"/>
          <w:szCs w:val="20"/>
        </w:rPr>
      </w:r>
    </w:p>
    <w:p>
      <w:pPr>
        <w:pBdr/>
        <w:spacing/>
        <w:ind/>
        <w:jc w:val="both"/>
        <w:rPr>
          <w:sz w:val="16"/>
          <w:szCs w:val="16"/>
        </w:rPr>
      </w:pPr>
      <w:r>
        <w:rPr>
          <w:sz w:val="16"/>
          <w:szCs w:val="16"/>
        </w:rPr>
      </w:r>
      <w:r>
        <w:rPr>
          <w:sz w:val="16"/>
          <w:szCs w:val="16"/>
        </w:rPr>
      </w:r>
    </w:p>
    <w:p>
      <w:pPr>
        <w:pStyle w:val="1084"/>
        <w:numPr>
          <w:ilvl w:val="0"/>
          <w:numId w:val="4"/>
        </w:numPr>
        <w:pBdr/>
        <w:spacing w:after="0" w:line="240" w:lineRule="auto"/>
        <w:ind w:hanging="357" w:left="0"/>
        <w:contextualSpacing w:val="false"/>
        <w:jc w:val="both"/>
        <w:rPr>
          <w:b/>
        </w:rPr>
      </w:pPr>
      <w:r>
        <w:rPr>
          <w:b/>
          <w:i/>
          <w:iCs/>
        </w:rPr>
        <w:t xml:space="preserve">Edmée et Paul Arma, une éducation musicale pour la jeunesse (1936-1996) </w:t>
      </w:r>
      <w:r>
        <w:rPr>
          <w:b/>
        </w:rPr>
      </w:r>
    </w:p>
    <w:p>
      <w:pPr>
        <w:pBdr/>
        <w:spacing w:after="113" w:line="240" w:lineRule="auto"/>
        <w:ind/>
        <w:jc w:val="both"/>
        <w:rPr>
          <w:b/>
          <w:bCs/>
          <w:i/>
        </w:rPr>
      </w:pPr>
      <w:r>
        <w:rPr>
          <w:b/>
        </w:rPr>
        <w:t xml:space="preserve">p</w:t>
      </w:r>
      <w:r>
        <w:rPr>
          <w:b/>
          <w:bCs/>
        </w:rPr>
        <w:t xml:space="preserve">ar</w:t>
      </w:r>
      <w:r>
        <w:rPr>
          <w:b/>
          <w:bCs/>
        </w:rPr>
        <w:t xml:space="preserve"> Déborah LIVET</w:t>
      </w:r>
      <w:r>
        <w:rPr>
          <w:b/>
          <w:bCs/>
          <w:i/>
        </w:rPr>
      </w:r>
    </w:p>
    <w:p>
      <w:pPr>
        <w:pBdr>
          <w:top w:val="none" w:color="000000" w:sz="4" w:space="0"/>
          <w:left w:val="none" w:color="000000" w:sz="4" w:space="0"/>
          <w:bottom w:val="none" w:color="000000" w:sz="4" w:space="0"/>
          <w:right w:val="none" w:color="000000" w:sz="4" w:space="0"/>
        </w:pBdr>
        <w:spacing/>
        <w:ind/>
        <w:jc w:val="both"/>
        <w:rPr/>
      </w:pPr>
      <w:r>
        <w:rPr>
          <w:color w:val="000000"/>
        </w:rPr>
        <w:t xml:space="preserve">Ce cours a pour ambition d’appréhender d’un point de vue musicologique et historique le travail d’un compositeur e</w:t>
      </w:r>
      <w:r>
        <w:rPr>
          <w:color w:val="000000"/>
        </w:rPr>
        <w:t xml:space="preserve">t de sa femme institutrice sur le répertoire des chansons traditionnelles. Avec la création des Loisirs Musicaux de la Jeunesse en 1937 et les nombreux recueils à destination des enfants et des jeunes publiés par le couple, nous verrons comment Paul et Edm</w:t>
      </w:r>
      <w:r>
        <w:rPr>
          <w:color w:val="000000"/>
        </w:rPr>
        <w:t xml:space="preserve">ée Arma s’inscrivent dans le paysage musical d’une époque. Les supports d’écoute, les visuels pour illustrer les chants, les partitions mais aussi leurs mémoires, nous permettront de mieux comprendre le travail de collectage du compositeur tout autant que </w:t>
      </w:r>
      <w:r>
        <w:rPr>
          <w:color w:val="000000"/>
        </w:rPr>
        <w:t xml:space="preserve">son travail d’harmonisateur et la façon dont l’illustration s’adjoint à la musique. Seront également abordées les nombreuses danses traditionnelles publiées par Edmée et son intérêt plus tardif pour les berceuses. Nous verrons, enfin, comment d’autres aute</w:t>
      </w:r>
      <w:r>
        <w:rPr>
          <w:color w:val="000000"/>
        </w:rPr>
        <w:t xml:space="preserve">urs s’empareront de leurs travaux pour les utiliser dans des albums jeunesses ou dans des livres didactiques de formation musicale.</w:t>
      </w:r>
      <w:r/>
    </w:p>
    <w:p>
      <w:pPr>
        <w:pStyle w:val="1065"/>
        <w:pBdr/>
        <w:spacing w:line="276" w:lineRule="auto"/>
        <w:ind/>
        <w:jc w:val="both"/>
        <w:rPr>
          <w:sz w:val="20"/>
          <w:szCs w:val="20"/>
        </w:rPr>
      </w:pPr>
      <w:r>
        <w:rPr>
          <w:sz w:val="20"/>
          <w:szCs w:val="20"/>
        </w:rPr>
        <w:t xml:space="preserve">Arma, Paul, </w:t>
      </w:r>
      <w:r>
        <w:rPr>
          <w:i/>
          <w:sz w:val="20"/>
          <w:szCs w:val="20"/>
        </w:rPr>
        <w:t xml:space="preserve">Noël ! Chantons Noël !</w:t>
      </w:r>
      <w:r>
        <w:rPr>
          <w:sz w:val="20"/>
          <w:szCs w:val="20"/>
        </w:rPr>
        <w:t xml:space="preserve"> Les éditions ouvrières, 1942, 240 p.</w:t>
      </w:r>
      <w:r>
        <w:rPr>
          <w:sz w:val="20"/>
          <w:szCs w:val="20"/>
        </w:rPr>
      </w:r>
    </w:p>
    <w:p>
      <w:pPr>
        <w:pStyle w:val="1065"/>
        <w:pBdr/>
        <w:spacing w:line="276" w:lineRule="auto"/>
        <w:ind/>
        <w:jc w:val="both"/>
        <w:rPr>
          <w:sz w:val="20"/>
          <w:szCs w:val="20"/>
        </w:rPr>
      </w:pPr>
      <w:r>
        <w:rPr>
          <w:sz w:val="20"/>
          <w:szCs w:val="20"/>
        </w:rPr>
        <w:t xml:space="preserve">Arma, Paul, </w:t>
      </w:r>
      <w:r>
        <w:rPr>
          <w:i/>
          <w:sz w:val="20"/>
          <w:szCs w:val="20"/>
        </w:rPr>
        <w:t xml:space="preserve">Chantons au vent</w:t>
      </w:r>
      <w:r>
        <w:rPr>
          <w:sz w:val="20"/>
          <w:szCs w:val="20"/>
        </w:rPr>
        <w:t xml:space="preserve">, Paris, J. Susse, 1942,</w:t>
      </w:r>
      <w:r>
        <w:rPr>
          <w:sz w:val="20"/>
          <w:szCs w:val="20"/>
        </w:rPr>
        <w:t xml:space="preserve"> 200 p.</w:t>
      </w:r>
      <w:r>
        <w:rPr>
          <w:sz w:val="20"/>
          <w:szCs w:val="20"/>
        </w:rPr>
      </w:r>
    </w:p>
    <w:p>
      <w:pPr>
        <w:pStyle w:val="1065"/>
        <w:pBdr/>
        <w:spacing w:line="276" w:lineRule="auto"/>
        <w:ind/>
        <w:jc w:val="both"/>
        <w:rPr>
          <w:sz w:val="20"/>
          <w:szCs w:val="20"/>
        </w:rPr>
      </w:pPr>
      <w:r>
        <w:rPr>
          <w:sz w:val="20"/>
          <w:szCs w:val="20"/>
        </w:rPr>
        <w:t xml:space="preserve">Arma, Paul, </w:t>
      </w:r>
      <w:r>
        <w:rPr>
          <w:i/>
          <w:sz w:val="20"/>
          <w:szCs w:val="20"/>
        </w:rPr>
        <w:t xml:space="preserve">Chantons les vieilles chansons d’Europe</w:t>
      </w:r>
      <w:r>
        <w:rPr>
          <w:sz w:val="20"/>
          <w:szCs w:val="20"/>
        </w:rPr>
        <w:t xml:space="preserve">, Paris, Les éditions ouvrières, 1943, 318 p.</w:t>
      </w:r>
      <w:r>
        <w:rPr>
          <w:sz w:val="20"/>
          <w:szCs w:val="20"/>
        </w:rPr>
      </w:r>
    </w:p>
    <w:p>
      <w:pPr>
        <w:pStyle w:val="1065"/>
        <w:pBdr/>
        <w:spacing w:line="276" w:lineRule="auto"/>
        <w:ind/>
        <w:jc w:val="both"/>
        <w:rPr>
          <w:sz w:val="20"/>
          <w:szCs w:val="20"/>
        </w:rPr>
      </w:pPr>
      <w:r>
        <w:rPr>
          <w:sz w:val="20"/>
          <w:szCs w:val="20"/>
        </w:rPr>
        <w:t xml:space="preserve">Arma, Paul, </w:t>
      </w:r>
      <w:r>
        <w:rPr>
          <w:i/>
          <w:sz w:val="20"/>
          <w:szCs w:val="20"/>
        </w:rPr>
        <w:t xml:space="preserve">Les Chansons de l’Oncle Paul</w:t>
      </w:r>
      <w:r>
        <w:rPr>
          <w:sz w:val="20"/>
          <w:szCs w:val="20"/>
        </w:rPr>
        <w:t xml:space="preserve">, Paris, Les éditions ouvrières, 1943.</w:t>
      </w:r>
      <w:r>
        <w:rPr>
          <w:sz w:val="20"/>
          <w:szCs w:val="20"/>
        </w:rPr>
      </w:r>
    </w:p>
    <w:p>
      <w:pPr>
        <w:pStyle w:val="1065"/>
        <w:pBdr/>
        <w:spacing w:line="276" w:lineRule="auto"/>
        <w:ind/>
        <w:jc w:val="both"/>
        <w:rPr>
          <w:sz w:val="20"/>
          <w:szCs w:val="20"/>
        </w:rPr>
      </w:pPr>
      <w:r>
        <w:rPr>
          <w:sz w:val="20"/>
          <w:szCs w:val="20"/>
        </w:rPr>
        <w:t xml:space="preserve">Arma, Edmée, </w:t>
      </w:r>
      <w:r>
        <w:rPr>
          <w:i/>
          <w:sz w:val="20"/>
          <w:szCs w:val="20"/>
        </w:rPr>
        <w:t xml:space="preserve">Voyez comme on danse</w:t>
      </w:r>
      <w:r>
        <w:rPr>
          <w:sz w:val="20"/>
          <w:szCs w:val="20"/>
        </w:rPr>
        <w:t xml:space="preserve">, Paris, Lemoine, 1946, 144 p.</w:t>
      </w:r>
      <w:r>
        <w:rPr>
          <w:sz w:val="20"/>
          <w:szCs w:val="20"/>
        </w:rPr>
      </w:r>
    </w:p>
    <w:p>
      <w:pPr>
        <w:pStyle w:val="1065"/>
        <w:pBdr/>
        <w:spacing w:line="276" w:lineRule="auto"/>
        <w:ind/>
        <w:jc w:val="both"/>
        <w:rPr>
          <w:sz w:val="20"/>
          <w:szCs w:val="20"/>
        </w:rPr>
      </w:pPr>
      <w:r>
        <w:rPr>
          <w:sz w:val="20"/>
          <w:szCs w:val="20"/>
        </w:rPr>
        <w:t xml:space="preserve">Arma, Edmée et Paul, </w:t>
      </w:r>
      <w:r>
        <w:rPr>
          <w:i/>
          <w:sz w:val="20"/>
          <w:szCs w:val="20"/>
        </w:rPr>
        <w:t xml:space="preserve">Chansons pour </w:t>
      </w:r>
      <w:r>
        <w:rPr>
          <w:i/>
          <w:sz w:val="20"/>
          <w:szCs w:val="20"/>
        </w:rPr>
        <w:t xml:space="preserve">Miroka</w:t>
      </w:r>
      <w:r>
        <w:rPr>
          <w:sz w:val="20"/>
          <w:szCs w:val="20"/>
        </w:rPr>
        <w:t xml:space="preserve">, Paris, Les éditions ouvrières, 1946. </w:t>
      </w:r>
      <w:r>
        <w:rPr>
          <w:sz w:val="20"/>
          <w:szCs w:val="20"/>
        </w:rPr>
      </w:r>
    </w:p>
    <w:p>
      <w:pPr>
        <w:pStyle w:val="1065"/>
        <w:pBdr/>
        <w:spacing w:line="276" w:lineRule="auto"/>
        <w:ind/>
        <w:jc w:val="both"/>
        <w:rPr>
          <w:sz w:val="20"/>
          <w:szCs w:val="20"/>
        </w:rPr>
      </w:pPr>
      <w:r>
        <w:rPr>
          <w:sz w:val="20"/>
          <w:szCs w:val="20"/>
        </w:rPr>
        <w:t xml:space="preserve">Arma, Edmée, </w:t>
      </w:r>
      <w:r>
        <w:rPr>
          <w:i/>
          <w:sz w:val="20"/>
          <w:szCs w:val="20"/>
        </w:rPr>
        <w:t xml:space="preserve">Chansons du berceau</w:t>
      </w:r>
      <w:r>
        <w:rPr>
          <w:sz w:val="20"/>
          <w:szCs w:val="20"/>
        </w:rPr>
        <w:t xml:space="preserve">, Les éditions ouvrières, 1965, 80 p.</w:t>
      </w:r>
      <w:r>
        <w:rPr>
          <w:sz w:val="20"/>
          <w:szCs w:val="20"/>
        </w:rPr>
      </w:r>
    </w:p>
    <w:p>
      <w:pPr>
        <w:pStyle w:val="1065"/>
        <w:pBdr/>
        <w:spacing w:line="276" w:lineRule="auto"/>
        <w:ind/>
        <w:jc w:val="both"/>
        <w:rPr>
          <w:sz w:val="20"/>
          <w:szCs w:val="20"/>
        </w:rPr>
      </w:pPr>
      <w:r>
        <w:rPr>
          <w:sz w:val="20"/>
          <w:szCs w:val="20"/>
        </w:rPr>
        <w:t xml:space="preserve">Arma, Edmée et Paul, </w:t>
      </w:r>
      <w:r>
        <w:rPr>
          <w:i/>
          <w:sz w:val="20"/>
          <w:szCs w:val="20"/>
        </w:rPr>
        <w:t xml:space="preserve">Mémoires à deux voix</w:t>
      </w:r>
      <w:r>
        <w:rPr>
          <w:sz w:val="20"/>
          <w:szCs w:val="20"/>
        </w:rPr>
        <w:t xml:space="preserve">, tapuscrit inédit, archives privées, 1987.</w:t>
      </w:r>
      <w:r>
        <w:rPr>
          <w:sz w:val="20"/>
          <w:szCs w:val="20"/>
        </w:rPr>
      </w:r>
    </w:p>
    <w:p>
      <w:pPr>
        <w:pStyle w:val="1065"/>
        <w:pBdr/>
        <w:spacing w:line="276" w:lineRule="auto"/>
        <w:ind/>
        <w:jc w:val="both"/>
        <w:rPr>
          <w:sz w:val="20"/>
          <w:szCs w:val="20"/>
        </w:rPr>
      </w:pPr>
      <w:r>
        <w:rPr>
          <w:sz w:val="20"/>
          <w:szCs w:val="20"/>
        </w:rPr>
        <w:t xml:space="preserve">Arma, Edmée, </w:t>
      </w:r>
      <w:r>
        <w:rPr>
          <w:i/>
          <w:sz w:val="20"/>
          <w:szCs w:val="20"/>
        </w:rPr>
        <w:t xml:space="preserve">Am </w:t>
      </w:r>
      <w:r>
        <w:rPr>
          <w:i/>
          <w:sz w:val="20"/>
          <w:szCs w:val="20"/>
        </w:rPr>
        <w:t xml:space="preserve">Stra</w:t>
      </w:r>
      <w:r>
        <w:rPr>
          <w:i/>
          <w:sz w:val="20"/>
          <w:szCs w:val="20"/>
        </w:rPr>
        <w:t xml:space="preserve">m</w:t>
      </w:r>
      <w:r>
        <w:rPr>
          <w:i/>
          <w:sz w:val="20"/>
          <w:szCs w:val="20"/>
        </w:rPr>
        <w:t xml:space="preserve"> Gram</w:t>
      </w:r>
      <w:r>
        <w:rPr>
          <w:sz w:val="20"/>
          <w:szCs w:val="20"/>
        </w:rPr>
        <w:t xml:space="preserve">, Paris, A cœur joie, 1996, 262 p.</w:t>
      </w:r>
      <w:r>
        <w:rPr>
          <w:sz w:val="20"/>
          <w:szCs w:val="20"/>
        </w:rPr>
      </w:r>
    </w:p>
    <w:p>
      <w:pPr>
        <w:pStyle w:val="1065"/>
        <w:pBdr/>
        <w:spacing w:line="276" w:lineRule="auto"/>
        <w:ind/>
        <w:jc w:val="both"/>
        <w:rPr>
          <w:sz w:val="20"/>
          <w:szCs w:val="20"/>
        </w:rPr>
      </w:pPr>
      <w:r>
        <w:rPr>
          <w:i/>
          <w:sz w:val="20"/>
          <w:szCs w:val="20"/>
        </w:rPr>
        <w:t xml:space="preserve">Les Belles Chansons de Noël, </w:t>
      </w:r>
      <w:r>
        <w:rPr>
          <w:sz w:val="20"/>
          <w:szCs w:val="20"/>
        </w:rPr>
        <w:t xml:space="preserve">Paris, </w:t>
      </w:r>
      <w:r>
        <w:rPr>
          <w:sz w:val="20"/>
          <w:szCs w:val="20"/>
        </w:rPr>
        <w:t xml:space="preserve">Bias</w:t>
      </w:r>
      <w:r>
        <w:rPr>
          <w:sz w:val="20"/>
          <w:szCs w:val="20"/>
        </w:rPr>
        <w:t xml:space="preserve">, 1972.</w:t>
      </w:r>
      <w:r>
        <w:rPr>
          <w:sz w:val="20"/>
          <w:szCs w:val="20"/>
        </w:rPr>
      </w:r>
    </w:p>
    <w:p>
      <w:pPr>
        <w:pStyle w:val="1065"/>
        <w:pBdr/>
        <w:spacing w:line="276" w:lineRule="auto"/>
        <w:ind/>
        <w:jc w:val="both"/>
        <w:rPr>
          <w:sz w:val="20"/>
          <w:szCs w:val="20"/>
        </w:rPr>
      </w:pPr>
      <w:r>
        <w:rPr>
          <w:sz w:val="20"/>
          <w:szCs w:val="20"/>
        </w:rPr>
        <w:t xml:space="preserve">Breyss</w:t>
      </w:r>
      <w:r>
        <w:rPr>
          <w:sz w:val="20"/>
          <w:szCs w:val="20"/>
        </w:rPr>
        <w:t xml:space="preserve">, Frédéric-Antonin, </w:t>
      </w:r>
      <w:r>
        <w:rPr>
          <w:i/>
          <w:sz w:val="20"/>
          <w:szCs w:val="20"/>
        </w:rPr>
        <w:t xml:space="preserve">La Rivière de feu</w:t>
      </w:r>
      <w:r>
        <w:rPr>
          <w:sz w:val="20"/>
          <w:szCs w:val="20"/>
        </w:rPr>
        <w:t xml:space="preserve">, album Fleurus, 1954, p. 16.</w:t>
      </w:r>
      <w:r>
        <w:rPr>
          <w:sz w:val="20"/>
          <w:szCs w:val="20"/>
        </w:rPr>
      </w:r>
    </w:p>
    <w:p>
      <w:pPr>
        <w:pStyle w:val="1065"/>
        <w:pBdr/>
        <w:spacing w:line="276" w:lineRule="auto"/>
        <w:ind/>
        <w:jc w:val="both"/>
        <w:rPr>
          <w:sz w:val="20"/>
          <w:szCs w:val="20"/>
        </w:rPr>
      </w:pPr>
      <w:r>
        <w:rPr>
          <w:i/>
          <w:sz w:val="20"/>
          <w:szCs w:val="20"/>
        </w:rPr>
        <w:t xml:space="preserve">Chansons et Rondes Enfantines</w:t>
      </w:r>
      <w:r>
        <w:rPr>
          <w:sz w:val="20"/>
          <w:szCs w:val="20"/>
        </w:rPr>
        <w:t xml:space="preserve">, Paris, </w:t>
      </w:r>
      <w:r>
        <w:rPr>
          <w:sz w:val="20"/>
          <w:szCs w:val="20"/>
        </w:rPr>
        <w:t xml:space="preserve">Bias</w:t>
      </w:r>
      <w:r>
        <w:rPr>
          <w:sz w:val="20"/>
          <w:szCs w:val="20"/>
        </w:rPr>
        <w:t xml:space="preserve">, 1959.</w:t>
      </w:r>
      <w:r>
        <w:rPr>
          <w:sz w:val="20"/>
          <w:szCs w:val="20"/>
        </w:rPr>
      </w:r>
    </w:p>
    <w:p>
      <w:pPr>
        <w:pStyle w:val="1065"/>
        <w:pBdr/>
        <w:spacing w:line="276" w:lineRule="auto"/>
        <w:ind/>
        <w:jc w:val="both"/>
        <w:rPr>
          <w:sz w:val="20"/>
          <w:szCs w:val="20"/>
        </w:rPr>
      </w:pPr>
      <w:r>
        <w:rPr>
          <w:sz w:val="20"/>
          <w:szCs w:val="20"/>
        </w:rPr>
        <w:t xml:space="preserve">Cornet, R. et Fleurant, M., </w:t>
      </w:r>
      <w:r>
        <w:rPr>
          <w:i/>
          <w:sz w:val="20"/>
          <w:szCs w:val="20"/>
        </w:rPr>
        <w:t xml:space="preserve">Le solfège vocal, classe de 6</w:t>
      </w:r>
      <w:r>
        <w:rPr>
          <w:i/>
          <w:sz w:val="20"/>
          <w:szCs w:val="20"/>
          <w:vertAlign w:val="superscript"/>
        </w:rPr>
        <w:t xml:space="preserve">e</w:t>
      </w:r>
      <w:r>
        <w:rPr>
          <w:sz w:val="20"/>
          <w:szCs w:val="20"/>
        </w:rPr>
        <w:t xml:space="preserve">, 1953, Paris, Lemoine, p. 19.</w:t>
      </w:r>
      <w:r>
        <w:rPr>
          <w:sz w:val="20"/>
          <w:szCs w:val="20"/>
        </w:rPr>
      </w:r>
    </w:p>
    <w:p>
      <w:pPr>
        <w:pStyle w:val="1065"/>
        <w:pBdr/>
        <w:spacing w:line="276" w:lineRule="auto"/>
        <w:ind/>
        <w:jc w:val="both"/>
        <w:rPr>
          <w:sz w:val="20"/>
          <w:szCs w:val="20"/>
        </w:rPr>
      </w:pPr>
      <w:r>
        <w:rPr>
          <w:sz w:val="20"/>
          <w:szCs w:val="20"/>
        </w:rPr>
        <w:t xml:space="preserve">Cornet, R. et Fleurant, M., </w:t>
      </w:r>
      <w:r>
        <w:rPr>
          <w:i/>
          <w:sz w:val="20"/>
          <w:szCs w:val="20"/>
        </w:rPr>
        <w:t xml:space="preserve">Le solfège vocal, classe de 5</w:t>
      </w:r>
      <w:r>
        <w:rPr>
          <w:i/>
          <w:sz w:val="20"/>
          <w:szCs w:val="20"/>
          <w:vertAlign w:val="superscript"/>
        </w:rPr>
        <w:t xml:space="preserve">e</w:t>
      </w:r>
      <w:r>
        <w:rPr>
          <w:sz w:val="20"/>
          <w:szCs w:val="20"/>
        </w:rPr>
        <w:t xml:space="preserve">, 1954, Paris, Lemoine, p. 9 et 15.</w:t>
      </w:r>
      <w:r>
        <w:rPr>
          <w:sz w:val="20"/>
          <w:szCs w:val="20"/>
        </w:rPr>
      </w:r>
    </w:p>
    <w:p>
      <w:pPr>
        <w:pStyle w:val="1065"/>
        <w:pBdr/>
        <w:spacing w:line="276" w:lineRule="auto"/>
        <w:ind/>
        <w:jc w:val="both"/>
        <w:rPr>
          <w:sz w:val="20"/>
          <w:szCs w:val="20"/>
        </w:rPr>
      </w:pPr>
      <w:r>
        <w:rPr>
          <w:sz w:val="20"/>
          <w:szCs w:val="20"/>
        </w:rPr>
        <w:t xml:space="preserve">Cornet, R. et Fleurant, M., </w:t>
      </w:r>
      <w:r>
        <w:rPr>
          <w:i/>
          <w:sz w:val="20"/>
          <w:szCs w:val="20"/>
        </w:rPr>
        <w:t xml:space="preserve">Le solfège vocal, classe de 4</w:t>
      </w:r>
      <w:r>
        <w:rPr>
          <w:i/>
          <w:sz w:val="20"/>
          <w:szCs w:val="20"/>
          <w:vertAlign w:val="superscript"/>
        </w:rPr>
        <w:t xml:space="preserve">e</w:t>
      </w:r>
      <w:r>
        <w:rPr>
          <w:sz w:val="20"/>
          <w:szCs w:val="20"/>
        </w:rPr>
        <w:t xml:space="preserve">, 1955, Paris, Lemoine, p. 12, 23 et 43.</w:t>
      </w:r>
      <w:r>
        <w:rPr>
          <w:sz w:val="20"/>
          <w:szCs w:val="20"/>
        </w:rPr>
      </w:r>
    </w:p>
    <w:p>
      <w:pPr>
        <w:pStyle w:val="1065"/>
        <w:pBdr/>
        <w:spacing w:line="276" w:lineRule="auto"/>
        <w:ind/>
        <w:jc w:val="both"/>
        <w:rPr>
          <w:sz w:val="20"/>
          <w:szCs w:val="20"/>
        </w:rPr>
      </w:pPr>
      <w:r>
        <w:rPr>
          <w:sz w:val="20"/>
          <w:szCs w:val="20"/>
        </w:rPr>
        <w:t xml:space="preserve">Da</w:t>
      </w:r>
      <w:r>
        <w:rPr>
          <w:sz w:val="20"/>
          <w:szCs w:val="20"/>
        </w:rPr>
        <w:t xml:space="preserve">mon-Guillot, Anne et </w:t>
      </w:r>
      <w:r>
        <w:rPr>
          <w:sz w:val="20"/>
          <w:szCs w:val="20"/>
        </w:rPr>
        <w:t xml:space="preserve">Macaigne</w:t>
      </w:r>
      <w:r>
        <w:rPr>
          <w:sz w:val="20"/>
          <w:szCs w:val="20"/>
        </w:rPr>
        <w:t xml:space="preserve">, Emmanuelle (</w:t>
      </w:r>
      <w:r>
        <w:rPr>
          <w:sz w:val="20"/>
          <w:szCs w:val="20"/>
        </w:rPr>
        <w:t xml:space="preserve">dir</w:t>
      </w:r>
      <w:r>
        <w:rPr>
          <w:sz w:val="20"/>
          <w:szCs w:val="20"/>
        </w:rPr>
        <w:t xml:space="preserve">.), </w:t>
      </w:r>
      <w:r>
        <w:rPr>
          <w:i/>
          <w:sz w:val="20"/>
          <w:szCs w:val="20"/>
        </w:rPr>
        <w:t xml:space="preserve">Eh bien, Chantez maintenant ! Chansons d’enfance, deux siècles d’un patrimoine vivant, </w:t>
      </w:r>
      <w:r>
        <w:rPr>
          <w:sz w:val="20"/>
          <w:szCs w:val="20"/>
        </w:rPr>
        <w:t xml:space="preserve">catalogue de l’exposition du Musée National de l’Education de Rouen, Canopé, 2022.</w:t>
      </w:r>
      <w:r>
        <w:rPr>
          <w:sz w:val="20"/>
          <w:szCs w:val="20"/>
        </w:rPr>
      </w:r>
    </w:p>
    <w:p>
      <w:pPr>
        <w:pStyle w:val="1065"/>
        <w:pBdr/>
        <w:spacing w:line="276" w:lineRule="auto"/>
        <w:ind/>
        <w:jc w:val="both"/>
        <w:rPr>
          <w:sz w:val="20"/>
          <w:szCs w:val="20"/>
        </w:rPr>
      </w:pPr>
      <w:r>
        <w:rPr>
          <w:sz w:val="20"/>
          <w:szCs w:val="20"/>
        </w:rPr>
        <w:t xml:space="preserve">Pittion</w:t>
      </w:r>
      <w:r>
        <w:rPr>
          <w:sz w:val="20"/>
          <w:szCs w:val="20"/>
        </w:rPr>
        <w:t xml:space="preserve">, Paul, </w:t>
      </w:r>
      <w:r>
        <w:rPr>
          <w:i/>
          <w:sz w:val="20"/>
          <w:szCs w:val="20"/>
        </w:rPr>
        <w:t xml:space="preserve">Livre unique de musiq</w:t>
      </w:r>
      <w:r>
        <w:rPr>
          <w:i/>
          <w:sz w:val="20"/>
          <w:szCs w:val="20"/>
        </w:rPr>
        <w:t xml:space="preserve">ue et de chant</w:t>
      </w:r>
      <w:r>
        <w:rPr>
          <w:sz w:val="20"/>
          <w:szCs w:val="20"/>
        </w:rPr>
        <w:t xml:space="preserve">, 3</w:t>
      </w:r>
      <w:r>
        <w:rPr>
          <w:sz w:val="20"/>
          <w:szCs w:val="20"/>
          <w:vertAlign w:val="superscript"/>
        </w:rPr>
        <w:t xml:space="preserve">e</w:t>
      </w:r>
      <w:r>
        <w:rPr>
          <w:sz w:val="20"/>
          <w:szCs w:val="20"/>
        </w:rPr>
        <w:t xml:space="preserve"> année, 1957, p. 6 et 11.</w:t>
      </w:r>
      <w:r>
        <w:rPr>
          <w:sz w:val="20"/>
          <w:szCs w:val="20"/>
        </w:rPr>
      </w:r>
    </w:p>
    <w:p>
      <w:pPr>
        <w:pStyle w:val="1065"/>
        <w:pBdr/>
        <w:spacing w:line="276" w:lineRule="auto"/>
        <w:ind/>
        <w:jc w:val="both"/>
        <w:rPr>
          <w:sz w:val="20"/>
          <w:szCs w:val="20"/>
        </w:rPr>
      </w:pPr>
      <w:r>
        <w:rPr>
          <w:sz w:val="20"/>
          <w:szCs w:val="20"/>
        </w:rPr>
        <w:t xml:space="preserve">Pittion</w:t>
      </w:r>
      <w:r>
        <w:rPr>
          <w:sz w:val="20"/>
          <w:szCs w:val="20"/>
        </w:rPr>
        <w:t xml:space="preserve">, Paul, </w:t>
      </w:r>
      <w:r>
        <w:rPr>
          <w:i/>
          <w:sz w:val="20"/>
          <w:szCs w:val="20"/>
        </w:rPr>
        <w:t xml:space="preserve">Livre unique de musique et de chant</w:t>
      </w:r>
      <w:r>
        <w:rPr>
          <w:sz w:val="20"/>
          <w:szCs w:val="20"/>
        </w:rPr>
        <w:t xml:space="preserve">, 4</w:t>
      </w:r>
      <w:r>
        <w:rPr>
          <w:sz w:val="20"/>
          <w:szCs w:val="20"/>
          <w:vertAlign w:val="superscript"/>
        </w:rPr>
        <w:t xml:space="preserve">e</w:t>
      </w:r>
      <w:r>
        <w:rPr>
          <w:sz w:val="20"/>
          <w:szCs w:val="20"/>
        </w:rPr>
        <w:t xml:space="preserve"> année, 1958, p. 114.</w:t>
      </w:r>
      <w:r>
        <w:rPr>
          <w:sz w:val="20"/>
          <w:szCs w:val="20"/>
        </w:rPr>
      </w:r>
    </w:p>
    <w:p>
      <w:pPr>
        <w:pBdr/>
        <w:spacing/>
        <w:ind/>
        <w:jc w:val="both"/>
        <w:rPr/>
      </w:pPr>
      <w:r/>
      <w:r/>
    </w:p>
    <w:tbl>
      <w:tblPr>
        <w:tblStyle w:val="920"/>
        <w:tblW w:w="0" w:type="auto"/>
        <w:tblBorders/>
        <w:tblLook w:val="04A0" w:firstRow="1" w:lastRow="0" w:firstColumn="1" w:lastColumn="0" w:noHBand="0" w:noVBand="1"/>
      </w:tblPr>
      <w:tblGrid>
        <w:gridCol w:w="9072"/>
      </w:tblGrid>
      <w:tr>
        <w:trPr/>
        <w:tc>
          <w:tcPr>
            <w:tcBorders/>
            <w:tcW w:w="9072" w:type="dxa"/>
            <w:textDirection w:val="lrTb"/>
            <w:noWrap w:val="false"/>
          </w:tcPr>
          <w:p>
            <w:pPr>
              <w:pBdr/>
              <w:spacing/>
              <w:ind/>
              <w:jc w:val="both"/>
              <w:rPr/>
            </w:pPr>
            <w:r>
              <w:t xml:space="preserve">L’ensemble du cours fera l’objet d’un </w:t>
            </w:r>
            <w:r>
              <w:rPr>
                <w:b/>
              </w:rPr>
              <w:t xml:space="preserve">dossier de 15 000 signes (espaces compris).</w:t>
            </w:r>
            <w:r>
              <w:t xml:space="preserve"> Il s’agira d’analyser une image en rapport avec la mu</w:t>
            </w:r>
            <w:r>
              <w:t xml:space="preserve">sique ou la chanson qu’elle illustre, en tenant compte de la méthode vue en cours.</w:t>
            </w:r>
            <w:r/>
          </w:p>
        </w:tc>
      </w:tr>
    </w:tbl>
    <w:p>
      <w:pPr>
        <w:keepNext w:val="true"/>
        <w:pBdr/>
        <w:tabs>
          <w:tab w:val="left" w:leader="none" w:pos="9724"/>
        </w:tabs>
        <w:spacing/>
        <w:ind w:right="566"/>
        <w:jc w:val="both"/>
        <w:rPr>
          <w:b/>
          <w:color w:val="000000" w:themeColor="text1"/>
        </w:rPr>
      </w:pPr>
      <w:r>
        <w:rPr>
          <w:b/>
          <w:color w:val="000000" w:themeColor="text1"/>
        </w:rPr>
      </w:r>
      <w:r>
        <w:rPr>
          <w:b/>
          <w:color w:val="000000" w:themeColor="text1"/>
        </w:rPr>
      </w:r>
    </w:p>
    <w:p>
      <w:pPr>
        <w:pStyle w:val="893"/>
        <w:pBdr/>
        <w:spacing w:after="170"/>
        <w:ind/>
        <w:jc w:val="both"/>
        <w:rPr>
          <w:color w:val="000000"/>
          <w:spacing w:val="-2"/>
        </w:rPr>
      </w:pPr>
      <w:r/>
      <w:bookmarkStart w:id="30" w:name="_1.2._Interculturalité_et"/>
      <w:r/>
      <w:bookmarkStart w:id="31" w:name="_Toc177566462"/>
      <w:r/>
      <w:bookmarkEnd w:id="30"/>
      <w:r>
        <w:t xml:space="preserve">1.2. </w:t>
      </w:r>
      <w:r>
        <w:rPr>
          <w:color w:val="000000"/>
        </w:rPr>
        <w:t xml:space="preserve">Interculturalité et </w:t>
      </w:r>
      <w:r>
        <w:rPr>
          <w:color w:val="000000"/>
          <w:spacing w:val="-2"/>
        </w:rPr>
        <w:t xml:space="preserve">inclusion</w:t>
      </w:r>
      <w:bookmarkEnd w:id="31"/>
      <w:r/>
      <w:r>
        <w:rPr>
          <w:color w:val="000000"/>
          <w:spacing w:val="-2"/>
        </w:rPr>
      </w:r>
    </w:p>
    <w:p>
      <w:pPr>
        <w:pStyle w:val="1084"/>
        <w:numPr>
          <w:ilvl w:val="0"/>
          <w:numId w:val="16"/>
        </w:numPr>
        <w:pBdr>
          <w:top w:val="none" w:color="000000" w:sz="4" w:space="0"/>
          <w:left w:val="none" w:color="000000" w:sz="4" w:space="0"/>
          <w:bottom w:val="none" w:color="000000" w:sz="4" w:space="0"/>
          <w:right w:val="none" w:color="000000" w:sz="4" w:space="0"/>
        </w:pBdr>
        <w:spacing/>
        <w:ind w:hanging="425" w:left="0"/>
        <w:contextualSpacing w:val="false"/>
        <w:jc w:val="both"/>
        <w:rPr>
          <w:b/>
          <w:bCs/>
          <w:color w:val="000000"/>
        </w:rPr>
      </w:pPr>
      <w:r>
        <w:rPr>
          <w:b/>
          <w:bCs/>
          <w:i/>
          <w:iCs/>
          <w:color w:val="000000"/>
        </w:rPr>
        <w:t xml:space="preserve">Musique et </w:t>
      </w:r>
      <w:r>
        <w:rPr>
          <w:b/>
          <w:bCs/>
          <w:i/>
          <w:iCs/>
          <w:color w:val="000000"/>
        </w:rPr>
        <w:t xml:space="preserve">interculturalite</w:t>
      </w:r>
      <w:r>
        <w:rPr>
          <w:b/>
          <w:bCs/>
          <w:i/>
          <w:iCs/>
          <w:color w:val="000000"/>
        </w:rPr>
        <w:t xml:space="preserve">́ : transmettre et fabriquer une </w:t>
      </w:r>
      <w:r>
        <w:rPr>
          <w:b/>
          <w:bCs/>
          <w:i/>
          <w:iCs/>
          <w:color w:val="000000"/>
        </w:rPr>
        <w:t xml:space="preserve">sociéte</w:t>
      </w:r>
      <w:r>
        <w:rPr>
          <w:b/>
          <w:bCs/>
          <w:i/>
          <w:iCs/>
          <w:color w:val="000000"/>
        </w:rPr>
        <w:t xml:space="preserve">́ multiculturelle avec les enfants </w:t>
      </w:r>
      <w:r>
        <w:rPr>
          <w:b/>
          <w:bCs/>
          <w:color w:val="000000"/>
        </w:rPr>
        <w:t xml:space="preserve">par </w:t>
      </w:r>
      <w:r>
        <w:rPr>
          <w:b/>
          <w:bCs/>
          <w:color w:val="000000"/>
        </w:rPr>
        <w:t xml:space="preserve">Arihana</w:t>
      </w:r>
      <w:r>
        <w:rPr>
          <w:b/>
          <w:bCs/>
          <w:color w:val="000000"/>
        </w:rPr>
        <w:t xml:space="preserve"> </w:t>
      </w:r>
      <w:r>
        <w:rPr>
          <w:b/>
          <w:bCs/>
          <w:color w:val="000000"/>
        </w:rPr>
        <w:t xml:space="preserve">Villamil</w:t>
      </w:r>
      <w:r>
        <w:rPr>
          <w:b/>
          <w:bCs/>
          <w:color w:val="000000"/>
        </w:rPr>
        <w:t xml:space="preserve"> </w:t>
      </w:r>
      <w:r>
        <w:rPr>
          <w:b/>
          <w:bCs/>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t xml:space="preserve">Depuis les années 1990, la valorisation de la diversité culturelle occupe une place centrale au sein des politiques culturelles, tant en France qu’à l’international. À l’instar des orientations institutionnelles, de nombreux acteurs et actrices culturelles</w:t>
      </w:r>
      <w:r>
        <w:rPr>
          <w:color w:val="000000"/>
        </w:rPr>
        <w:t xml:space="preserve"> françaises, en particulier dans le domaine des dites « musiques du monde », s’emparent des dynamiques de la globalisation pour mettre en scène cette diversité, en valorisant le partage, le dialogue et l’échange entre les cultures. </w:t>
      </w:r>
      <w:r>
        <w:rPr>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t xml:space="preserve">Parmi ces initiatives, </w:t>
      </w:r>
      <w:r>
        <w:rPr>
          <w:color w:val="000000"/>
        </w:rPr>
        <w:t xml:space="preserve">certaines sont destinées aux enfants : c’est le cas, entre autres, du projet Demos de la Philharmonie de Paris, du festival Babel Mômes et du projet de la Cité des Marmots organisés par l’association Villes des Musiques du Monde en Île-de-France, ou encore</w:t>
      </w:r>
      <w:r>
        <w:rPr>
          <w:color w:val="000000"/>
        </w:rPr>
        <w:t xml:space="preserve"> des diverses actions menées par le Centre des musiques traditionnelles </w:t>
      </w:r>
      <w:r>
        <w:rPr>
          <w:color w:val="000000"/>
        </w:rPr>
        <w:t xml:space="preserve">Rhônes-Alpes</w:t>
      </w:r>
      <w:r>
        <w:rPr>
          <w:color w:val="000000"/>
        </w:rPr>
        <w:t xml:space="preserve"> (CMTRA) dans la métropole lyonnaise. </w:t>
      </w:r>
      <w:r>
        <w:rPr>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t xml:space="preserve">À partir de différentes études de cas, nous interrogerons le rôle que joue la musique dans les politiques de valorisation de la diver</w:t>
      </w:r>
      <w:r>
        <w:rPr>
          <w:color w:val="000000"/>
        </w:rPr>
        <w:t xml:space="preserve">sité culturelle auprès des enfants. Nous analyserons les discours et projets portés par ces festivals et institutions musicales, en approfondissant les concepts de multiculturalité, d’interculturalité, de transculturalité et, par conséquent, les implicatio</w:t>
      </w:r>
      <w:r>
        <w:rPr>
          <w:color w:val="000000"/>
        </w:rPr>
        <w:t xml:space="preserve">ns du concept même de « culture » dans la mise en œuvre de ces dispositifs. Nous verrons ainsi comment, à bien des égards, les actions des opérateurs et opératrices culturelles du secteur musical sont confrontées à des problématiques qui reflètent une tens</w:t>
      </w:r>
      <w:r>
        <w:rPr>
          <w:color w:val="000000"/>
        </w:rPr>
        <w:t xml:space="preserve">ion structurelle au sein des États démocratiques contemporains. D’un côté, ces États multiplient les déclarations en faveur de la diversité culturelle et du dialogue interculturel ; de l’autre, les objectifs chiffrés imposés à l’administration en matière d</w:t>
      </w:r>
      <w:r>
        <w:rPr>
          <w:color w:val="000000"/>
        </w:rPr>
        <w:t xml:space="preserve">e contrôle des flux migratoires fragilisent les conditions de séjour et de circulation des personnes étrangères sur le territoire français. De même, les initiatives destinées à favoriser l’accès au « droits culturels » sont confrontées à de nombreuses </w:t>
      </w:r>
      <w:r>
        <w:rPr>
          <w:color w:val="000000"/>
        </w:rPr>
        <w:t xml:space="preserve">prob</w:t>
      </w:r>
      <w:r>
        <w:rPr>
          <w:color w:val="000000"/>
        </w:rPr>
        <w:t xml:space="preserve">lématiques sociales comme les inégalités d’accès aux lieux culturels, ou encore l’instrumentalisation des discours associés à la culture et à la diversité. </w:t>
      </w:r>
      <w:r>
        <w:rPr>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t xml:space="preserve">Afin d’aborder ces questions, nous examinerons différentes études de cas. </w:t>
      </w:r>
      <w:r>
        <w:rPr>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r>
      <w:r>
        <w:rPr>
          <w:color w:val="000000"/>
        </w:rPr>
      </w:r>
    </w:p>
    <w:tbl>
      <w:tblPr>
        <w:tblStyle w:val="920"/>
        <w:tblW w:w="0" w:type="auto"/>
        <w:tblBorders/>
        <w:tblLook w:val="04A0" w:firstRow="1" w:lastRow="0" w:firstColumn="1" w:lastColumn="0" w:noHBand="0" w:noVBand="1"/>
      </w:tblPr>
      <w:tblGrid>
        <w:gridCol w:w="9203"/>
      </w:tblGrid>
      <w:tr>
        <w:trPr/>
        <w:tc>
          <w:tcPr>
            <w:tcBorders/>
            <w:tcW w:w="9203" w:type="dxa"/>
            <w:textDirection w:val="lrTb"/>
            <w:noWrap w:val="false"/>
          </w:tcPr>
          <w:p>
            <w:pPr>
              <w:pBdr>
                <w:top w:val="none" w:color="000000" w:sz="4" w:space="0"/>
                <w:left w:val="none" w:color="000000" w:sz="4" w:space="0"/>
                <w:bottom w:val="none" w:color="000000" w:sz="4" w:space="0"/>
                <w:right w:val="none" w:color="000000" w:sz="4" w:space="0"/>
              </w:pBdr>
              <w:spacing w:after="0" w:line="259" w:lineRule="auto"/>
              <w:ind/>
              <w:jc w:val="both"/>
              <w:rPr>
                <w:color w:val="000000"/>
              </w:rPr>
            </w:pPr>
            <w:r>
              <w:rPr>
                <w:color w:val="000000"/>
              </w:rPr>
              <w:t xml:space="preserve">L’ensemble du cours fer</w:t>
            </w:r>
            <w:r>
              <w:rPr>
                <w:color w:val="000000"/>
              </w:rPr>
              <w:t xml:space="preserve">a l’objet d’un </w:t>
            </w:r>
            <w:r>
              <w:rPr>
                <w:b/>
                <w:bCs/>
                <w:color w:val="000000"/>
              </w:rPr>
              <w:t xml:space="preserve">dossier de 15 000 signes (espaces compris)</w:t>
            </w:r>
            <w:r>
              <w:rPr>
                <w:color w:val="000000"/>
              </w:rPr>
              <w:t xml:space="preserve"> dans lequel il s’agira d’analyser les éléments d’une programmation musicale à partir des contenus mobilisés dans le cours.</w:t>
            </w:r>
            <w:r>
              <w:rPr>
                <w:color w:val="000000"/>
              </w:rPr>
            </w:r>
          </w:p>
        </w:tc>
      </w:tr>
    </w:tbl>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r>
      <w:r>
        <w:rPr>
          <w:color w:val="000000"/>
        </w:rPr>
      </w:r>
    </w:p>
    <w:p>
      <w:pPr>
        <w:numPr>
          <w:ilvl w:val="0"/>
          <w:numId w:val="30"/>
        </w:numPr>
        <w:pBdr>
          <w:top w:val="none" w:color="000000" w:sz="4" w:space="0"/>
          <w:left w:val="none" w:color="000000" w:sz="4" w:space="0"/>
          <w:bottom w:val="none" w:color="000000" w:sz="4" w:space="0"/>
          <w:right w:val="none" w:color="000000" w:sz="4" w:space="0"/>
        </w:pBdr>
        <w:spacing w:after="0"/>
        <w:ind w:hanging="425" w:left="0"/>
        <w:jc w:val="both"/>
        <w:rPr>
          <w:b/>
          <w:bCs/>
          <w:color w:val="000000"/>
        </w:rPr>
      </w:pPr>
      <w:r>
        <w:rPr>
          <w:b/>
          <w:bCs/>
          <w:i/>
          <w:iCs/>
        </w:rPr>
        <w:t xml:space="preserve">Comprendre les enjeux de la conception universelle des apprentissages dans la prise en charge des enfants à besoins éducatifs particuliers </w:t>
      </w:r>
      <w:r>
        <w:rPr>
          <w:b/>
          <w:bCs/>
          <w:color w:val="000000"/>
        </w:rPr>
      </w:r>
    </w:p>
    <w:p>
      <w:pPr>
        <w:pBdr>
          <w:top w:val="none" w:color="000000" w:sz="4" w:space="0"/>
          <w:left w:val="none" w:color="000000" w:sz="4" w:space="0"/>
          <w:bottom w:val="none" w:color="000000" w:sz="4" w:space="0"/>
          <w:right w:val="none" w:color="000000" w:sz="4" w:space="0"/>
        </w:pBdr>
        <w:spacing/>
        <w:ind/>
        <w:jc w:val="both"/>
        <w:rPr>
          <w:sz w:val="24"/>
          <w:szCs w:val="24"/>
        </w:rPr>
      </w:pPr>
      <w:r>
        <w:rPr>
          <w:b/>
          <w:bCs/>
        </w:rPr>
        <w:t xml:space="preserve">par</w:t>
      </w:r>
      <w:r>
        <w:rPr>
          <w:b/>
          <w:bCs/>
        </w:rPr>
        <w:t xml:space="preserve"> Emmanuelle Lefebvre</w:t>
      </w:r>
      <w:r>
        <w:rPr>
          <w:sz w:val="24"/>
          <w:szCs w:val="24"/>
        </w:rPr>
      </w:r>
    </w:p>
    <w:p>
      <w:pPr>
        <w:pBdr/>
        <w:spacing w:after="0" w:afterAutospacing="0"/>
        <w:ind/>
        <w:rPr/>
      </w:pPr>
      <w:r>
        <w:t xml:space="preserve">Depuis 2005 et la promulgation de La loi n°2005-102 pour l’égalité des droits et des chances</w:t>
      </w:r>
      <w:r>
        <w:t xml:space="preserve">, la participation et la citoyenneté des personnes handicapées, l’accès à l’instruction demeure un challenge majeur d’inclusion dans notre société. Pourtant on note aujourd’hui qu’un enfant issu d’un milieu défavorisé présentant des difficultés liées à des</w:t>
      </w:r>
      <w:r>
        <w:t xml:space="preserve"> troubles de santé et/ou d’un handicap sera moins souvent scolarisé en milieu ordinaire en primaire, et ne le sera presque jamais dans l’enseignement général en fin de collège par rapport à un enfant présentant le même trouble d’une famille très favorisée.</w:t>
      </w:r>
      <w:r>
        <w:t xml:space="preserve"> </w:t>
      </w:r>
      <w:r/>
    </w:p>
    <w:p>
      <w:pPr>
        <w:pBdr/>
        <w:spacing w:after="0" w:afterAutospacing="0"/>
        <w:ind/>
        <w:rPr/>
      </w:pPr>
      <w:r>
        <w:t xml:space="preserve">Pour les plus jeunes (et quelle que soit leur origine sociale) une amélioration de l’inclusion scolaire en milieu ordinaire, favorisée par des ouvertures d’Unité locale d’inclusion scolaire (ULIS), permet à ces enfants de rester scolarisés avec leurs pai</w:t>
      </w:r>
      <w:r>
        <w:t xml:space="preserve">rs. Malgré tout, la question n’en demeure pas moins primordiale sur les différents temps éducatifs de l’enfant et du jeune. </w:t>
      </w:r>
      <w:r/>
    </w:p>
    <w:p>
      <w:pPr>
        <w:pBdr/>
        <w:spacing w:after="0" w:afterAutospacing="0"/>
        <w:ind/>
        <w:rPr/>
      </w:pPr>
      <w:r>
        <w:t xml:space="preserve">Comment alors, les acteurs éducatifs et pédagogiques peuvent et/ou doivent-ils décliner leurs actions en prenant en compte les disp</w:t>
      </w:r>
      <w:r>
        <w:t xml:space="preserve">ositifs tout en visant une harmonie des pratiques dans les temps de l’enfant ? </w:t>
      </w:r>
      <w:r/>
    </w:p>
    <w:p>
      <w:pPr>
        <w:pStyle w:val="1084"/>
        <w:numPr>
          <w:ilvl w:val="0"/>
          <w:numId w:val="34"/>
        </w:numPr>
        <w:pBdr/>
        <w:spacing w:after="160" w:line="278" w:lineRule="auto"/>
        <w:ind/>
        <w:rPr/>
      </w:pPr>
      <w:r>
        <w:t xml:space="preserve">Historique de la prise en charge des enfants à besoins éducatifs particuliers.</w:t>
      </w:r>
      <w:r/>
    </w:p>
    <w:p>
      <w:pPr>
        <w:pStyle w:val="1084"/>
        <w:numPr>
          <w:ilvl w:val="0"/>
          <w:numId w:val="34"/>
        </w:numPr>
        <w:pBdr/>
        <w:spacing w:after="160" w:line="278" w:lineRule="auto"/>
        <w:ind/>
        <w:rPr/>
      </w:pPr>
      <w:r>
        <w:t xml:space="preserve">Apports sur la notion de conception universelle des apprentissages (CUA) à partir des recherches </w:t>
      </w:r>
      <w:r>
        <w:t xml:space="preserve">(psychosociale, sciences humaines, sociologie, urbanisme…) en lien avec les compétences psychosociales</w:t>
      </w:r>
      <w:r/>
    </w:p>
    <w:p>
      <w:pPr>
        <w:pStyle w:val="1084"/>
        <w:numPr>
          <w:ilvl w:val="0"/>
          <w:numId w:val="35"/>
        </w:numPr>
        <w:pBdr/>
        <w:spacing w:after="160" w:line="278" w:lineRule="auto"/>
        <w:ind/>
        <w:rPr/>
      </w:pPr>
      <w:r>
        <w:t xml:space="preserve">Les ressources pour prendre en charge les enfants dans le cadre de la CUA (outil cap école inclusif, utilisation du numérique, les pédagogies actives)</w:t>
      </w:r>
      <w:r/>
    </w:p>
    <w:p>
      <w:pPr>
        <w:pStyle w:val="1084"/>
        <w:numPr>
          <w:ilvl w:val="0"/>
          <w:numId w:val="35"/>
        </w:numPr>
        <w:pBdr/>
        <w:spacing w:after="160" w:line="278" w:lineRule="auto"/>
        <w:ind/>
        <w:rPr/>
      </w:pPr>
      <w:r>
        <w:t xml:space="preserve">Pe</w:t>
      </w:r>
      <w:r>
        <w:t xml:space="preserve">nser des actions artistiques dans le cadre de la CUA</w:t>
      </w:r>
      <w:r/>
    </w:p>
    <w:p>
      <w:pPr>
        <w:keepNext w:val="true"/>
        <w:pBdr/>
        <w:tabs>
          <w:tab w:val="left" w:leader="none" w:pos="9724"/>
        </w:tabs>
        <w:spacing/>
        <w:ind w:right="566"/>
        <w:jc w:val="both"/>
        <w:rPr>
          <w:b/>
          <w:bCs/>
          <w:color w:val="000000" w:themeColor="text1"/>
          <w:sz w:val="16"/>
          <w:szCs w:val="16"/>
        </w:rPr>
      </w:pPr>
      <w:r>
        <w:rPr>
          <w:b/>
          <w:color w:val="000000" w:themeColor="text1"/>
          <w:sz w:val="16"/>
          <w:szCs w:val="16"/>
        </w:rPr>
      </w:r>
      <w:r>
        <w:rPr>
          <w:b/>
          <w:bCs/>
          <w:color w:val="000000" w:themeColor="text1"/>
          <w:sz w:val="16"/>
          <w:szCs w:val="16"/>
        </w:rPr>
      </w:r>
    </w:p>
    <w:p>
      <w:pPr>
        <w:pStyle w:val="893"/>
        <w:pBdr/>
        <w:spacing w:after="0"/>
        <w:ind/>
        <w:jc w:val="both"/>
        <w:rPr/>
      </w:pPr>
      <w:r/>
      <w:bookmarkStart w:id="32" w:name="_1.3._Connaissance_des"/>
      <w:r/>
      <w:bookmarkStart w:id="33" w:name="_Toc177566463"/>
      <w:r/>
      <w:bookmarkEnd w:id="32"/>
      <w:r>
        <w:t xml:space="preserve">1.3. Connaissance des publics</w:t>
      </w:r>
      <w:bookmarkEnd w:id="33"/>
      <w:r/>
      <w:r/>
    </w:p>
    <w:p>
      <w:pPr>
        <w:pBdr>
          <w:top w:val="none" w:color="000000" w:sz="4" w:space="0"/>
          <w:left w:val="none" w:color="000000" w:sz="4" w:space="0"/>
          <w:bottom w:val="none" w:color="000000" w:sz="4" w:space="0"/>
          <w:right w:val="none" w:color="000000" w:sz="4" w:space="0"/>
        </w:pBdr>
        <w:spacing w:after="113" w:line="240" w:lineRule="auto"/>
        <w:ind/>
        <w:jc w:val="both"/>
        <w:rPr>
          <w:b/>
          <w:bCs/>
        </w:rPr>
      </w:pPr>
      <w:r>
        <w:rPr>
          <w:b/>
          <w:bCs/>
        </w:rPr>
        <w:t xml:space="preserve">par</w:t>
      </w:r>
      <w:r>
        <w:rPr>
          <w:b/>
          <w:bCs/>
        </w:rPr>
        <w:t xml:space="preserve"> Juliette MORAIN, Agnès SOUBEYRAND, Céline SOUTIF</w:t>
      </w:r>
      <w:r>
        <w:rPr>
          <w:b/>
          <w:bCs/>
        </w:rPr>
      </w:r>
    </w:p>
    <w:p>
      <w:pPr>
        <w:pBdr/>
        <w:spacing/>
        <w:ind/>
        <w:jc w:val="both"/>
        <w:rPr/>
      </w:pPr>
      <w:r>
        <w:t xml:space="preserve">La connaissance des publics (réels ou potentiels) des lieux patrimoniaux est au fondement des pratiques de médiation culturelle comme de la démarche de développement des publics. Ce cours, assuré alternativement par trois intervenantes aux profils et parco</w:t>
      </w:r>
      <w:r>
        <w:t xml:space="preserve">urs professionnels variés, propose d'appréhender la notion de "publics" dans toute sa complexité. Il s'appuie, en alternance, sur des ressources théoriques et méthodologiques essentielles pour développer une connaissance fine des publics (diversité, spécif</w:t>
      </w:r>
      <w:r>
        <w:t xml:space="preserve">icités...) et des dispositifs d'accompagnement associés, et sur des situations concrètes et retours d'expériences nécessaires à une approche pragmatique des enjeux. Une visite de terrain permet d'aborder la question spécifique des jeunes publics, envisagés</w:t>
      </w:r>
      <w:r>
        <w:t xml:space="preserve"> dans plusieurs contextes de fréquentation.</w:t>
      </w:r>
      <w:r/>
    </w:p>
    <w:tbl>
      <w:tblPr>
        <w:tblStyle w:val="920"/>
        <w:tblW w:w="0" w:type="auto"/>
        <w:tblBorders/>
        <w:tblLook w:val="04A0" w:firstRow="1" w:lastRow="0" w:firstColumn="1" w:lastColumn="0" w:noHBand="0" w:noVBand="1"/>
      </w:tblPr>
      <w:tblGrid>
        <w:gridCol w:w="9072"/>
      </w:tblGrid>
      <w:tr>
        <w:trPr/>
        <w:tc>
          <w:tcPr>
            <w:tcBorders/>
            <w:tcW w:w="9072" w:type="dxa"/>
            <w:textDirection w:val="lrTb"/>
            <w:noWrap w:val="false"/>
          </w:tcPr>
          <w:p>
            <w:pPr>
              <w:pBdr/>
              <w:spacing/>
              <w:ind/>
              <w:jc w:val="both"/>
              <w:rPr/>
            </w:pPr>
            <w:r>
              <w:t xml:space="preserve">L'évaluation reposera sur </w:t>
            </w:r>
            <w:r>
              <w:rPr>
                <w:b/>
                <w:bCs/>
              </w:rPr>
              <w:t xml:space="preserve">un travail en groupe, à partir de mises en situation professionnelles, avec restitution orale.</w:t>
            </w:r>
            <w:r>
              <w:t xml:space="preserve"> Elle se déroulera sur le temps du dernier cours. </w:t>
            </w:r>
            <w:r/>
          </w:p>
        </w:tc>
      </w:tr>
    </w:tbl>
    <w:p>
      <w:pPr>
        <w:pBdr/>
        <w:spacing/>
        <w:ind w:firstLine="708"/>
        <w:jc w:val="both"/>
        <w:rPr/>
      </w:pPr>
      <w:r/>
      <w:r/>
    </w:p>
    <w:p>
      <w:pPr>
        <w:pStyle w:val="893"/>
        <w:pBdr/>
        <w:spacing w:after="0"/>
        <w:ind/>
        <w:jc w:val="both"/>
        <w:rPr/>
      </w:pPr>
      <w:r/>
      <w:bookmarkStart w:id="34" w:name="_1.4._Enjeux_et"/>
      <w:r/>
      <w:bookmarkStart w:id="35" w:name="_Toc177566464"/>
      <w:r/>
      <w:bookmarkEnd w:id="34"/>
      <w:r>
        <w:t xml:space="preserve">1.4. Enjeux et objectifs de l'Éducation</w:t>
      </w:r>
      <w:r>
        <w:t xml:space="preserve"> Artistique et Culturelle</w:t>
      </w:r>
      <w:bookmarkEnd w:id="35"/>
      <w:r/>
      <w:r/>
    </w:p>
    <w:p>
      <w:pPr>
        <w:pBdr>
          <w:top w:val="none" w:color="000000" w:sz="4" w:space="0"/>
          <w:left w:val="none" w:color="000000" w:sz="4" w:space="0"/>
          <w:bottom w:val="none" w:color="000000" w:sz="4" w:space="0"/>
          <w:right w:val="none" w:color="000000" w:sz="4" w:space="0"/>
        </w:pBdr>
        <w:spacing w:after="113" w:line="240" w:lineRule="auto"/>
        <w:ind/>
        <w:jc w:val="both"/>
        <w:rPr>
          <w:b/>
          <w:bCs/>
        </w:rPr>
      </w:pPr>
      <w:r>
        <w:rPr>
          <w:b/>
          <w:bCs/>
        </w:rPr>
        <w:t xml:space="preserve">par</w:t>
      </w:r>
      <w:r>
        <w:rPr>
          <w:b/>
          <w:bCs/>
        </w:rPr>
        <w:t xml:space="preserve"> Camille SOLER</w:t>
      </w:r>
      <w:r>
        <w:rPr>
          <w:b/>
          <w:bCs/>
        </w:rPr>
      </w:r>
    </w:p>
    <w:p>
      <w:pPr>
        <w:pBdr>
          <w:top w:val="none" w:color="000000" w:sz="4" w:space="0"/>
          <w:left w:val="none" w:color="000000" w:sz="4" w:space="0"/>
          <w:bottom w:val="none" w:color="000000" w:sz="4" w:space="0"/>
          <w:right w:val="none" w:color="000000" w:sz="4" w:space="0"/>
        </w:pBdr>
        <w:spacing w:after="0"/>
        <w:ind/>
        <w:jc w:val="both"/>
        <w:rPr/>
      </w:pPr>
      <w:r>
        <w:rPr>
          <w:color w:val="000000"/>
        </w:rPr>
        <w:t xml:space="preserve">L’éducation artistique et culturelle s’est construite au fil du temps sur 3 piliers fondamentaux et complémentaires : rencontrer les artistes et les œuvres, encourager la participation active à un processus créat</w:t>
      </w:r>
      <w:r>
        <w:rPr>
          <w:color w:val="000000"/>
        </w:rPr>
        <w:t xml:space="preserve">if (théâtre, musique, danse, arts plastiques etc.) et s’approprier des connaissances en termes historiques et esthétiques.</w:t>
      </w:r>
      <w:r/>
    </w:p>
    <w:p>
      <w:pPr>
        <w:pBdr>
          <w:top w:val="none" w:color="000000" w:sz="4" w:space="0"/>
          <w:left w:val="none" w:color="000000" w:sz="4" w:space="0"/>
          <w:bottom w:val="none" w:color="000000" w:sz="4" w:space="0"/>
          <w:right w:val="none" w:color="000000" w:sz="4" w:space="0"/>
        </w:pBdr>
        <w:spacing w:after="113"/>
        <w:ind/>
        <w:jc w:val="both"/>
        <w:rPr/>
      </w:pPr>
      <w:r>
        <w:rPr>
          <w:color w:val="000000"/>
        </w:rPr>
        <w:t xml:space="preserve">À partir de sa contextualisation historique et politique, et de ses actuelles manifestations, les étudiant.es seront mis.es en situation de faire leur propre expérience de l’EAC et de l’évaluer collectivement.</w:t>
      </w:r>
      <w:r/>
    </w:p>
    <w:p>
      <w:pPr>
        <w:pBdr>
          <w:top w:val="none" w:color="000000" w:sz="4" w:space="0"/>
          <w:left w:val="none" w:color="000000" w:sz="4" w:space="0"/>
          <w:bottom w:val="none" w:color="000000" w:sz="4" w:space="0"/>
          <w:right w:val="none" w:color="000000" w:sz="4" w:space="0"/>
        </w:pBdr>
        <w:spacing w:after="0"/>
        <w:ind/>
        <w:jc w:val="both"/>
        <w:rPr>
          <w:sz w:val="20"/>
          <w:szCs w:val="20"/>
        </w:rPr>
      </w:pPr>
      <w:r>
        <w:rPr>
          <w:color w:val="000000"/>
          <w:sz w:val="20"/>
          <w:szCs w:val="20"/>
        </w:rPr>
        <w:t xml:space="preserve">Références bibliographiques </w:t>
      </w:r>
      <w:r>
        <w:rPr>
          <w:sz w:val="20"/>
          <w:szCs w:val="20"/>
        </w:rPr>
      </w:r>
    </w:p>
    <w:p>
      <w:pPr>
        <w:pBdr>
          <w:top w:val="none" w:color="000000" w:sz="4" w:space="0"/>
          <w:left w:val="none" w:color="000000" w:sz="4" w:space="0"/>
          <w:bottom w:val="none" w:color="000000" w:sz="4" w:space="0"/>
          <w:right w:val="none" w:color="000000" w:sz="4" w:space="0"/>
        </w:pBdr>
        <w:spacing w:after="0"/>
        <w:ind/>
        <w:jc w:val="both"/>
        <w:rPr>
          <w:sz w:val="20"/>
          <w:szCs w:val="20"/>
        </w:rPr>
      </w:pPr>
      <w:r>
        <w:rPr>
          <w:color w:val="000000"/>
          <w:sz w:val="20"/>
          <w:szCs w:val="20"/>
        </w:rPr>
        <w:t xml:space="preserve">- Jean-Gabriel CA</w:t>
      </w:r>
      <w:r>
        <w:rPr>
          <w:color w:val="000000"/>
          <w:sz w:val="20"/>
          <w:szCs w:val="20"/>
        </w:rPr>
        <w:t xml:space="preserve">RASSO, </w:t>
      </w:r>
      <w:r>
        <w:rPr>
          <w:i/>
          <w:color w:val="000000"/>
          <w:sz w:val="20"/>
          <w:szCs w:val="20"/>
        </w:rPr>
        <w:t xml:space="preserve">Nos enfants ont-ils droit à l'art et la </w:t>
      </w:r>
      <w:r>
        <w:rPr>
          <w:i/>
          <w:color w:val="000000"/>
          <w:sz w:val="20"/>
          <w:szCs w:val="20"/>
        </w:rPr>
        <w:t xml:space="preserve">culture?</w:t>
      </w:r>
      <w:r>
        <w:rPr>
          <w:color w:val="000000"/>
          <w:sz w:val="20"/>
          <w:szCs w:val="20"/>
        </w:rPr>
        <w:t xml:space="preserve">,</w:t>
      </w:r>
      <w:r>
        <w:rPr>
          <w:color w:val="000000"/>
          <w:sz w:val="20"/>
          <w:szCs w:val="20"/>
        </w:rPr>
        <w:t xml:space="preserve"> Editions L'attribut, 2005, 128 p.</w:t>
      </w:r>
      <w:r>
        <w:rPr>
          <w:sz w:val="20"/>
          <w:szCs w:val="20"/>
        </w:rPr>
      </w:r>
    </w:p>
    <w:p>
      <w:pPr>
        <w:pBdr>
          <w:top w:val="none" w:color="000000" w:sz="4" w:space="0"/>
          <w:left w:val="none" w:color="000000" w:sz="4" w:space="0"/>
          <w:bottom w:val="none" w:color="000000" w:sz="4" w:space="0"/>
          <w:right w:val="none" w:color="000000" w:sz="4" w:space="0"/>
        </w:pBdr>
        <w:spacing w:after="0"/>
        <w:ind/>
        <w:jc w:val="both"/>
        <w:rPr>
          <w:sz w:val="20"/>
          <w:szCs w:val="20"/>
        </w:rPr>
      </w:pPr>
      <w:r>
        <w:rPr>
          <w:color w:val="000000"/>
          <w:sz w:val="20"/>
          <w:szCs w:val="20"/>
        </w:rPr>
        <w:t xml:space="preserve">- Florence ELOY (</w:t>
      </w:r>
      <w:r>
        <w:rPr>
          <w:color w:val="000000"/>
          <w:sz w:val="20"/>
          <w:szCs w:val="20"/>
        </w:rPr>
        <w:t xml:space="preserve">dir</w:t>
      </w:r>
      <w:r>
        <w:rPr>
          <w:color w:val="000000"/>
          <w:sz w:val="20"/>
          <w:szCs w:val="20"/>
        </w:rPr>
        <w:t xml:space="preserve">.), </w:t>
      </w:r>
      <w:r>
        <w:rPr>
          <w:i/>
          <w:color w:val="000000"/>
          <w:sz w:val="20"/>
          <w:szCs w:val="20"/>
        </w:rPr>
        <w:t xml:space="preserve">Comment la culture vient aux enfants : repenser les médiations, </w:t>
      </w:r>
      <w:r>
        <w:rPr>
          <w:color w:val="000000"/>
          <w:sz w:val="20"/>
          <w:szCs w:val="20"/>
        </w:rPr>
        <w:t xml:space="preserve">Ministère de la Culture/Presses de </w:t>
      </w:r>
      <w:r>
        <w:rPr>
          <w:color w:val="000000"/>
          <w:sz w:val="20"/>
          <w:szCs w:val="20"/>
        </w:rPr>
        <w:t xml:space="preserve">SciencesPo</w:t>
      </w:r>
      <w:r>
        <w:rPr>
          <w:color w:val="000000"/>
          <w:sz w:val="20"/>
          <w:szCs w:val="20"/>
        </w:rPr>
        <w:t xml:space="preserve">, 2022, 288 p.</w:t>
      </w:r>
      <w:r>
        <w:rPr>
          <w:sz w:val="20"/>
          <w:szCs w:val="20"/>
        </w:rPr>
      </w:r>
    </w:p>
    <w:p>
      <w:pPr>
        <w:pBdr>
          <w:top w:val="none" w:color="000000" w:sz="4" w:space="0"/>
          <w:left w:val="none" w:color="000000" w:sz="4" w:space="0"/>
          <w:bottom w:val="none" w:color="000000" w:sz="4" w:space="0"/>
          <w:right w:val="none" w:color="000000" w:sz="4" w:space="0"/>
        </w:pBdr>
        <w:spacing w:after="0"/>
        <w:ind/>
        <w:jc w:val="both"/>
        <w:rPr>
          <w:sz w:val="20"/>
          <w:szCs w:val="20"/>
        </w:rPr>
      </w:pPr>
      <w:r>
        <w:rPr>
          <w:color w:val="000000"/>
          <w:sz w:val="20"/>
          <w:szCs w:val="20"/>
        </w:rPr>
        <w:t xml:space="preserve">- </w:t>
      </w:r>
      <w:r>
        <w:rPr>
          <w:color w:val="000000"/>
          <w:sz w:val="20"/>
          <w:szCs w:val="20"/>
        </w:rPr>
        <w:t xml:space="preserve">Eric</w:t>
      </w:r>
      <w:r>
        <w:rPr>
          <w:color w:val="000000"/>
          <w:sz w:val="20"/>
          <w:szCs w:val="20"/>
        </w:rPr>
        <w:t xml:space="preserve"> </w:t>
      </w:r>
      <w:r>
        <w:rPr>
          <w:caps/>
          <w:color w:val="000000"/>
          <w:sz w:val="20"/>
          <w:szCs w:val="20"/>
        </w:rPr>
        <w:t xml:space="preserve">Fourreau</w:t>
      </w:r>
      <w:r>
        <w:rPr>
          <w:color w:val="000000"/>
          <w:sz w:val="20"/>
          <w:szCs w:val="20"/>
        </w:rPr>
        <w:t xml:space="preserve"> (</w:t>
      </w:r>
      <w:r>
        <w:rPr>
          <w:color w:val="000000"/>
          <w:sz w:val="20"/>
          <w:szCs w:val="20"/>
        </w:rPr>
        <w:t xml:space="preserve">dir</w:t>
      </w:r>
      <w:r>
        <w:rPr>
          <w:color w:val="000000"/>
          <w:sz w:val="20"/>
          <w:szCs w:val="20"/>
        </w:rPr>
        <w:t xml:space="preserve">.), </w:t>
      </w:r>
      <w:r>
        <w:rPr>
          <w:i/>
          <w:color w:val="000000"/>
          <w:sz w:val="20"/>
          <w:szCs w:val="20"/>
        </w:rPr>
        <w:t xml:space="preserve">L'éducation artistique et culturelle dans le monde, récits et enjeux, </w:t>
      </w:r>
      <w:r>
        <w:rPr>
          <w:color w:val="000000"/>
          <w:sz w:val="20"/>
          <w:szCs w:val="20"/>
        </w:rPr>
        <w:t xml:space="preserve">Editions L'attribut, 2018, 320 p.</w:t>
      </w:r>
      <w:r>
        <w:rPr>
          <w:sz w:val="20"/>
          <w:szCs w:val="20"/>
        </w:rPr>
      </w:r>
    </w:p>
    <w:p>
      <w:pPr>
        <w:pBdr>
          <w:top w:val="none" w:color="000000" w:sz="4" w:space="0"/>
          <w:left w:val="none" w:color="000000" w:sz="4" w:space="0"/>
          <w:bottom w:val="none" w:color="000000" w:sz="4" w:space="0"/>
          <w:right w:val="none" w:color="000000" w:sz="4" w:space="0"/>
        </w:pBdr>
        <w:spacing w:after="0"/>
        <w:ind/>
        <w:jc w:val="both"/>
        <w:rPr>
          <w:sz w:val="20"/>
          <w:szCs w:val="20"/>
        </w:rPr>
      </w:pPr>
      <w:r>
        <w:rPr>
          <w:color w:val="000000"/>
          <w:sz w:val="20"/>
          <w:szCs w:val="20"/>
        </w:rPr>
        <w:t xml:space="preserve">- Sylvie OCTOBRE (</w:t>
      </w:r>
      <w:r>
        <w:rPr>
          <w:color w:val="000000"/>
          <w:sz w:val="20"/>
          <w:szCs w:val="20"/>
        </w:rPr>
        <w:t xml:space="preserve">dir</w:t>
      </w:r>
      <w:r>
        <w:rPr>
          <w:color w:val="000000"/>
          <w:sz w:val="20"/>
          <w:szCs w:val="20"/>
        </w:rPr>
        <w:t xml:space="preserve">.),</w:t>
      </w:r>
      <w:r>
        <w:rPr>
          <w:i/>
          <w:color w:val="000000"/>
          <w:sz w:val="20"/>
          <w:szCs w:val="20"/>
        </w:rPr>
        <w:t xml:space="preserve"> L'éducation artistique et culturelle, une utopie à l'épreuve des sciences sociales,</w:t>
      </w:r>
      <w:r>
        <w:rPr>
          <w:color w:val="000000"/>
          <w:sz w:val="20"/>
          <w:szCs w:val="20"/>
        </w:rPr>
        <w:t xml:space="preserve"> Ministère de la Culture/Presses de </w:t>
      </w:r>
      <w:r>
        <w:rPr>
          <w:color w:val="000000"/>
          <w:sz w:val="20"/>
          <w:szCs w:val="20"/>
        </w:rPr>
        <w:t xml:space="preserve">S</w:t>
      </w:r>
      <w:r>
        <w:rPr>
          <w:color w:val="000000"/>
          <w:sz w:val="20"/>
          <w:szCs w:val="20"/>
        </w:rPr>
        <w:t xml:space="preserve">ciencesPo</w:t>
      </w:r>
      <w:r>
        <w:rPr>
          <w:color w:val="000000"/>
          <w:sz w:val="20"/>
          <w:szCs w:val="20"/>
        </w:rPr>
        <w:t xml:space="preserve">, 2022, 324 p.</w:t>
      </w:r>
      <w:r>
        <w:rPr>
          <w:sz w:val="20"/>
          <w:szCs w:val="20"/>
        </w:rPr>
      </w:r>
    </w:p>
    <w:p>
      <w:pPr>
        <w:pBdr/>
        <w:spacing/>
        <w:ind w:left="709"/>
        <w:jc w:val="both"/>
        <w:rPr/>
      </w:pPr>
      <w:r/>
      <w:r/>
    </w:p>
    <w:p>
      <w:pPr>
        <w:pStyle w:val="893"/>
        <w:pBdr>
          <w:top w:val="none" w:color="000000" w:sz="4" w:space="0"/>
          <w:left w:val="none" w:color="000000" w:sz="4" w:space="0"/>
          <w:bottom w:val="none" w:color="000000" w:sz="4" w:space="0"/>
          <w:right w:val="none" w:color="000000" w:sz="4" w:space="0"/>
        </w:pBdr>
        <w:spacing w:after="0"/>
        <w:ind/>
        <w:jc w:val="both"/>
        <w:rPr/>
      </w:pPr>
      <w:r/>
      <w:bookmarkStart w:id="36" w:name="_1.5._Politiques_publiques"/>
      <w:r/>
      <w:bookmarkStart w:id="37" w:name="_Toc177566465"/>
      <w:r/>
      <w:bookmarkEnd w:id="36"/>
      <w:r>
        <w:t xml:space="preserve">1.5. Politiques publiques éducatives</w:t>
      </w:r>
      <w:bookmarkEnd w:id="37"/>
      <w:r/>
      <w:r/>
    </w:p>
    <w:p>
      <w:pPr>
        <w:pBdr>
          <w:top w:val="none" w:color="000000" w:sz="4" w:space="0"/>
          <w:left w:val="none" w:color="000000" w:sz="4" w:space="0"/>
          <w:bottom w:val="none" w:color="000000" w:sz="4" w:space="0"/>
          <w:right w:val="none" w:color="000000" w:sz="4" w:space="0"/>
        </w:pBdr>
        <w:spacing w:after="113" w:line="240" w:lineRule="auto"/>
        <w:ind/>
        <w:jc w:val="both"/>
        <w:rPr>
          <w:b/>
          <w:bCs/>
        </w:rPr>
      </w:pPr>
      <w:r>
        <w:rPr>
          <w:b/>
          <w:bCs/>
        </w:rPr>
        <w:t xml:space="preserve">par</w:t>
      </w:r>
      <w:r>
        <w:rPr>
          <w:b/>
          <w:bCs/>
        </w:rPr>
        <w:t xml:space="preserve"> Joris CINTERO</w:t>
      </w:r>
      <w:r>
        <w:rPr>
          <w:b/>
          <w:bCs/>
        </w:rPr>
      </w:r>
    </w:p>
    <w:p>
      <w:pPr>
        <w:pBdr>
          <w:top w:val="none" w:color="000000" w:sz="4" w:space="0"/>
          <w:left w:val="none" w:color="000000" w:sz="4" w:space="0"/>
          <w:bottom w:val="none" w:color="000000" w:sz="4" w:space="0"/>
          <w:right w:val="none" w:color="000000" w:sz="4" w:space="0"/>
        </w:pBdr>
        <w:spacing w:after="113"/>
        <w:ind/>
        <w:jc w:val="both"/>
        <w:rPr>
          <w:color w:val="000000"/>
        </w:rPr>
      </w:pPr>
      <w:r>
        <w:rPr>
          <w:color w:val="000000"/>
        </w:rPr>
        <w:t xml:space="preserve">Si la France compte, comme le dit l’expression, 68.000.000 de ministres de l’Éducation nationale, force est de constater que l’histoire politique contemporaine du système scolaire français est assez mal connue. L’inflation réformatrice, la multiplication d</w:t>
      </w:r>
      <w:r>
        <w:rPr>
          <w:color w:val="000000"/>
        </w:rPr>
        <w:t xml:space="preserve">es acteurs impliqués dans l’éducation ou encore l’évolution des missions confiées à l’École n’aident d'ailleurs pas à la compréhension générale des dynamiques politiques du système éducatif français. Ce cours propose d'étudier sur la structuration de ce sy</w:t>
      </w:r>
      <w:r>
        <w:rPr>
          <w:color w:val="000000"/>
        </w:rPr>
        <w:t xml:space="preserve">stème depuis 1945 en prenant en considération l’évolution des problématisations politiques de l’École. Revenant sur la relation entre « l’École » et « la société » au cours de la seconde partie du XX</w:t>
      </w:r>
      <w:r>
        <w:rPr>
          <w:color w:val="000000"/>
          <w:vertAlign w:val="superscript"/>
        </w:rPr>
        <w:t xml:space="preserve">e</w:t>
      </w:r>
      <w:r>
        <w:rPr>
          <w:color w:val="000000"/>
        </w:rPr>
        <w:t xml:space="preserve"> siècle, le cours se concentrera plus particulièrement s</w:t>
      </w:r>
      <w:r>
        <w:rPr>
          <w:color w:val="000000"/>
        </w:rPr>
        <w:t xml:space="preserve">ur ces trente dernières années, en mettant en évidence les relations qu’entretient la territorialisation de l’action publique éducative avec la construction et l’évolution des problématiques éducatives.</w:t>
      </w:r>
      <w:r>
        <w:rPr>
          <w:color w:val="000000"/>
        </w:rPr>
      </w:r>
    </w:p>
    <w:p>
      <w:pPr>
        <w:pBdr/>
        <w:spacing w:after="0"/>
        <w:ind/>
        <w:jc w:val="both"/>
        <w:rPr>
          <w:bCs/>
          <w:sz w:val="20"/>
          <w:szCs w:val="20"/>
        </w:rPr>
      </w:pPr>
      <w:r>
        <w:rPr>
          <w:bCs/>
          <w:sz w:val="20"/>
          <w:szCs w:val="20"/>
        </w:rPr>
        <w:t xml:space="preserve">Bibliographie indicative</w:t>
      </w:r>
      <w:r>
        <w:rPr>
          <w:bCs/>
          <w:sz w:val="20"/>
          <w:szCs w:val="20"/>
        </w:rPr>
      </w:r>
    </w:p>
    <w:p>
      <w:pPr>
        <w:pBdr/>
        <w:spacing w:after="0"/>
        <w:ind/>
        <w:jc w:val="both"/>
        <w:rPr>
          <w:bCs/>
          <w:sz w:val="20"/>
          <w:szCs w:val="20"/>
        </w:rPr>
      </w:pPr>
      <w:r>
        <w:rPr>
          <w:bCs/>
          <w:sz w:val="20"/>
          <w:szCs w:val="20"/>
        </w:rPr>
        <w:t xml:space="preserve">Ben </w:t>
      </w:r>
      <w:r>
        <w:rPr>
          <w:bCs/>
          <w:sz w:val="20"/>
          <w:szCs w:val="20"/>
        </w:rPr>
        <w:t xml:space="preserve">Ayed</w:t>
      </w:r>
      <w:r>
        <w:rPr>
          <w:bCs/>
          <w:sz w:val="20"/>
          <w:szCs w:val="20"/>
        </w:rPr>
        <w:t xml:space="preserve">, C. (2009). </w:t>
      </w:r>
      <w:r>
        <w:rPr>
          <w:bCs/>
          <w:i/>
          <w:iCs/>
          <w:sz w:val="20"/>
          <w:szCs w:val="20"/>
        </w:rPr>
        <w:t xml:space="preserve">Le nouv</w:t>
      </w:r>
      <w:r>
        <w:rPr>
          <w:bCs/>
          <w:i/>
          <w:iCs/>
          <w:sz w:val="20"/>
          <w:szCs w:val="20"/>
        </w:rPr>
        <w:t xml:space="preserve">el ordre éducatif local</w:t>
      </w:r>
      <w:r>
        <w:rPr>
          <w:bCs/>
          <w:sz w:val="20"/>
          <w:szCs w:val="20"/>
        </w:rPr>
        <w:t xml:space="preserve">. PUF.</w:t>
      </w:r>
      <w:r>
        <w:rPr>
          <w:bCs/>
          <w:sz w:val="20"/>
          <w:szCs w:val="20"/>
        </w:rPr>
      </w:r>
    </w:p>
    <w:p>
      <w:pPr>
        <w:pBdr/>
        <w:spacing w:after="0"/>
        <w:ind/>
        <w:jc w:val="both"/>
        <w:rPr>
          <w:bCs/>
          <w:sz w:val="20"/>
          <w:szCs w:val="20"/>
        </w:rPr>
      </w:pPr>
      <w:r>
        <w:rPr>
          <w:bCs/>
          <w:sz w:val="20"/>
          <w:szCs w:val="20"/>
        </w:rPr>
        <w:t xml:space="preserve">Moignard</w:t>
      </w:r>
      <w:r>
        <w:rPr>
          <w:bCs/>
          <w:sz w:val="20"/>
          <w:szCs w:val="20"/>
        </w:rPr>
        <w:t xml:space="preserve">, B. (2018). « Les « nouvelles » problématiques éducatives : construction de l’objet ». </w:t>
      </w:r>
      <w:r>
        <w:rPr>
          <w:bCs/>
          <w:i/>
          <w:iCs/>
          <w:sz w:val="20"/>
          <w:szCs w:val="20"/>
        </w:rPr>
        <w:t xml:space="preserve">Revue française de pédagogie,</w:t>
      </w:r>
      <w:r>
        <w:rPr>
          <w:bCs/>
          <w:sz w:val="20"/>
          <w:szCs w:val="20"/>
        </w:rPr>
        <w:t xml:space="preserve"> 202(1), 65-75.</w:t>
      </w:r>
      <w:r>
        <w:rPr>
          <w:bCs/>
          <w:sz w:val="20"/>
          <w:szCs w:val="20"/>
        </w:rPr>
      </w:r>
    </w:p>
    <w:p>
      <w:pPr>
        <w:pBdr/>
        <w:spacing w:after="0"/>
        <w:ind/>
        <w:jc w:val="both"/>
        <w:rPr>
          <w:bCs/>
          <w:sz w:val="20"/>
          <w:szCs w:val="20"/>
        </w:rPr>
      </w:pPr>
      <w:r>
        <w:rPr>
          <w:bCs/>
          <w:sz w:val="20"/>
          <w:szCs w:val="20"/>
        </w:rPr>
        <w:t xml:space="preserve">Netter, J. (2019). </w:t>
      </w:r>
      <w:r>
        <w:rPr>
          <w:bCs/>
          <w:i/>
          <w:iCs/>
          <w:sz w:val="20"/>
          <w:szCs w:val="20"/>
        </w:rPr>
        <w:t xml:space="preserve">L'école fragmentée</w:t>
      </w:r>
      <w:r>
        <w:rPr>
          <w:bCs/>
          <w:sz w:val="20"/>
          <w:szCs w:val="20"/>
        </w:rPr>
        <w:t xml:space="preserve">. PUF.</w:t>
      </w:r>
      <w:r>
        <w:rPr>
          <w:bCs/>
          <w:sz w:val="20"/>
          <w:szCs w:val="20"/>
        </w:rPr>
      </w:r>
    </w:p>
    <w:p>
      <w:pPr>
        <w:pBdr/>
        <w:spacing w:after="0"/>
        <w:ind/>
        <w:jc w:val="both"/>
        <w:rPr>
          <w:bCs/>
          <w:sz w:val="20"/>
          <w:szCs w:val="20"/>
        </w:rPr>
      </w:pPr>
      <w:r>
        <w:rPr>
          <w:bCs/>
          <w:sz w:val="20"/>
          <w:szCs w:val="20"/>
        </w:rPr>
        <w:t xml:space="preserve">Pons, X. (2024). </w:t>
      </w:r>
      <w:r>
        <w:rPr>
          <w:bCs/>
          <w:i/>
          <w:iCs/>
          <w:sz w:val="20"/>
          <w:szCs w:val="20"/>
        </w:rPr>
        <w:t xml:space="preserve">La fabrique des politiqu</w:t>
      </w:r>
      <w:r>
        <w:rPr>
          <w:bCs/>
          <w:i/>
          <w:iCs/>
          <w:sz w:val="20"/>
          <w:szCs w:val="20"/>
        </w:rPr>
        <w:t xml:space="preserve">es d’éducation</w:t>
      </w:r>
      <w:r>
        <w:rPr>
          <w:bCs/>
          <w:sz w:val="20"/>
          <w:szCs w:val="20"/>
        </w:rPr>
        <w:t xml:space="preserve">. PUF</w:t>
      </w:r>
      <w:r>
        <w:rPr>
          <w:bCs/>
          <w:sz w:val="20"/>
          <w:szCs w:val="20"/>
        </w:rPr>
      </w:r>
    </w:p>
    <w:p>
      <w:pPr>
        <w:pBdr/>
        <w:spacing w:after="0"/>
        <w:ind/>
        <w:jc w:val="both"/>
        <w:rPr>
          <w:bCs/>
          <w:sz w:val="20"/>
          <w:szCs w:val="20"/>
        </w:rPr>
      </w:pPr>
      <w:r>
        <w:rPr>
          <w:bCs/>
          <w:sz w:val="20"/>
          <w:szCs w:val="20"/>
        </w:rPr>
        <w:t xml:space="preserve">Sawicki</w:t>
      </w:r>
      <w:r>
        <w:rPr>
          <w:bCs/>
          <w:sz w:val="20"/>
          <w:szCs w:val="20"/>
        </w:rPr>
        <w:t xml:space="preserve">, F. (2012). </w:t>
      </w:r>
      <w:r>
        <w:rPr>
          <w:bCs/>
          <w:i/>
          <w:iCs/>
          <w:sz w:val="20"/>
          <w:szCs w:val="20"/>
        </w:rPr>
        <w:t xml:space="preserve">Pour une sociologie des problématisations politiques de l'École</w:t>
      </w:r>
      <w:r>
        <w:rPr>
          <w:bCs/>
          <w:sz w:val="20"/>
          <w:szCs w:val="20"/>
        </w:rPr>
        <w:t xml:space="preserve">. </w:t>
      </w:r>
      <w:r>
        <w:rPr>
          <w:bCs/>
          <w:i/>
          <w:iCs/>
          <w:sz w:val="20"/>
          <w:szCs w:val="20"/>
        </w:rPr>
        <w:t xml:space="preserve">Politix</w:t>
      </w:r>
      <w:r>
        <w:rPr>
          <w:bCs/>
          <w:i/>
          <w:iCs/>
          <w:sz w:val="20"/>
          <w:szCs w:val="20"/>
        </w:rPr>
        <w:t xml:space="preserve">,</w:t>
      </w:r>
      <w:r>
        <w:rPr>
          <w:bCs/>
          <w:sz w:val="20"/>
          <w:szCs w:val="20"/>
        </w:rPr>
        <w:t xml:space="preserve"> 98(2), 7-33.</w:t>
      </w:r>
      <w:r>
        <w:rPr>
          <w:bCs/>
          <w:sz w:val="20"/>
          <w:szCs w:val="20"/>
        </w:rPr>
      </w:r>
    </w:p>
    <w:p>
      <w:pPr>
        <w:pBdr/>
        <w:spacing w:after="0"/>
        <w:ind/>
        <w:jc w:val="both"/>
        <w:rPr>
          <w:bCs/>
          <w:sz w:val="20"/>
          <w:szCs w:val="20"/>
        </w:rPr>
      </w:pPr>
      <w:r>
        <w:rPr>
          <w:bCs/>
          <w:sz w:val="20"/>
          <w:szCs w:val="20"/>
        </w:rPr>
        <w:t xml:space="preserve">van</w:t>
      </w:r>
      <w:r>
        <w:rPr>
          <w:bCs/>
          <w:sz w:val="20"/>
          <w:szCs w:val="20"/>
        </w:rPr>
        <w:t xml:space="preserve"> </w:t>
      </w:r>
      <w:r>
        <w:rPr>
          <w:bCs/>
          <w:sz w:val="20"/>
          <w:szCs w:val="20"/>
        </w:rPr>
        <w:t xml:space="preserve">Zanten</w:t>
      </w:r>
      <w:r>
        <w:rPr>
          <w:bCs/>
          <w:sz w:val="20"/>
          <w:szCs w:val="20"/>
        </w:rPr>
        <w:t xml:space="preserve">, A. (2021). </w:t>
      </w:r>
      <w:r>
        <w:rPr>
          <w:bCs/>
          <w:i/>
          <w:iCs/>
          <w:sz w:val="20"/>
          <w:szCs w:val="20"/>
        </w:rPr>
        <w:t xml:space="preserve">Les politiques d'éducation</w:t>
      </w:r>
      <w:r>
        <w:rPr>
          <w:bCs/>
          <w:sz w:val="20"/>
          <w:szCs w:val="20"/>
        </w:rPr>
        <w:t xml:space="preserve">. PUF</w:t>
      </w:r>
      <w:r>
        <w:rPr>
          <w:bCs/>
          <w:sz w:val="20"/>
          <w:szCs w:val="20"/>
        </w:rPr>
      </w:r>
    </w:p>
    <w:p>
      <w:pPr>
        <w:pBdr/>
        <w:spacing w:after="0"/>
        <w:ind/>
        <w:jc w:val="both"/>
        <w:rPr>
          <w:bCs/>
          <w:sz w:val="20"/>
          <w:szCs w:val="20"/>
        </w:rPr>
      </w:pPr>
      <w:r>
        <w:rPr>
          <w:bCs/>
          <w:sz w:val="20"/>
          <w:szCs w:val="20"/>
        </w:rPr>
      </w:r>
      <w:r>
        <w:rPr>
          <w:bCs/>
          <w:sz w:val="20"/>
          <w:szCs w:val="20"/>
        </w:rPr>
      </w:r>
    </w:p>
    <w:p>
      <w:pPr>
        <w:pBdr>
          <w:top w:val="none" w:color="000000" w:sz="4" w:space="0"/>
          <w:left w:val="none" w:color="000000" w:sz="4" w:space="0"/>
          <w:bottom w:val="none" w:color="000000" w:sz="4" w:space="0"/>
          <w:right w:val="none" w:color="000000" w:sz="4" w:space="0"/>
        </w:pBdr>
        <w:spacing w:line="251" w:lineRule="atLeast"/>
        <w:ind/>
        <w:jc w:val="both"/>
        <w:rPr>
          <w:i/>
        </w:rPr>
      </w:pPr>
      <w:r>
        <w:rPr>
          <w:i/>
        </w:rPr>
      </w:r>
      <w:r>
        <w:rPr>
          <w:i/>
        </w:rPr>
      </w:r>
    </w:p>
    <w:p>
      <w:pPr>
        <w:pBdr>
          <w:top w:val="none" w:color="000000" w:sz="4" w:space="0"/>
          <w:left w:val="none" w:color="000000" w:sz="4" w:space="0"/>
          <w:bottom w:val="none" w:color="000000" w:sz="4" w:space="0"/>
          <w:right w:val="none" w:color="000000" w:sz="4" w:space="0"/>
        </w:pBdr>
        <w:spacing w:line="251" w:lineRule="atLeast"/>
        <w:ind/>
        <w:jc w:val="both"/>
        <w:rPr>
          <w:i/>
        </w:rPr>
      </w:pPr>
      <w:r>
        <w:rPr>
          <w:i/>
        </w:rPr>
      </w:r>
      <w:r>
        <w:rPr>
          <w:i/>
        </w:rPr>
      </w:r>
    </w:p>
    <w:p>
      <w:pPr>
        <w:pBdr/>
        <w:spacing w:after="160"/>
        <w:ind/>
        <w:rPr>
          <w:b/>
          <w:color w:val="000000" w:themeColor="text1"/>
          <w:sz w:val="28"/>
          <w:szCs w:val="28"/>
        </w:rPr>
      </w:pPr>
      <w:r/>
      <w:bookmarkStart w:id="38" w:name="_MODULE_PRATIQUE_:"/>
      <w:r/>
      <w:bookmarkStart w:id="39" w:name="_Toc177566466"/>
      <w:r/>
      <w:bookmarkEnd w:id="38"/>
      <w:r>
        <w:br w:type="page" w:clear="all"/>
      </w:r>
      <w:r>
        <w:rPr>
          <w:b/>
          <w:color w:val="000000" w:themeColor="text1"/>
          <w:sz w:val="28"/>
          <w:szCs w:val="28"/>
        </w:rPr>
      </w:r>
    </w:p>
    <w:p>
      <w:pPr>
        <w:pStyle w:val="892"/>
        <w:pBdr/>
        <w:spacing/>
        <w:ind/>
        <w:rPr>
          <w:rFonts w:cs="Barlow"/>
        </w:rPr>
      </w:pPr>
      <w:r>
        <w:rPr>
          <w:rFonts w:eastAsia="Barlow" w:cs="Barlow"/>
        </w:rPr>
        <w:t xml:space="preserve">MODULE PRATIQUE : TERRAINS ET CRÉATION</w:t>
      </w:r>
      <w:bookmarkEnd w:id="39"/>
      <w:r/>
      <w:r>
        <w:rPr>
          <w:rFonts w:cs="Barlow"/>
        </w:rPr>
      </w:r>
    </w:p>
    <w:p>
      <w:pPr>
        <w:pBdr>
          <w:top w:val="none" w:color="000000" w:sz="4" w:space="0"/>
          <w:left w:val="none" w:color="000000" w:sz="4" w:space="0"/>
          <w:bottom w:val="none" w:color="000000" w:sz="4" w:space="0"/>
          <w:right w:val="none" w:color="000000" w:sz="4" w:space="0"/>
        </w:pBdr>
        <w:spacing w:line="251" w:lineRule="atLeast"/>
        <w:ind/>
        <w:jc w:val="both"/>
        <w:rPr>
          <w:i/>
        </w:rPr>
      </w:pPr>
      <w:r>
        <w:rPr>
          <w:i/>
        </w:rPr>
      </w:r>
      <w:r>
        <w:rPr>
          <w:i/>
        </w:rPr>
      </w:r>
    </w:p>
    <w:p>
      <w:pPr>
        <w:pStyle w:val="893"/>
        <w:pBdr/>
        <w:spacing w:after="0"/>
        <w:ind/>
        <w:jc w:val="both"/>
        <w:rPr/>
      </w:pPr>
      <w:r/>
      <w:bookmarkStart w:id="40" w:name="_2.1._Journée_d’intégration"/>
      <w:r/>
      <w:bookmarkStart w:id="41" w:name="_Toc177566467"/>
      <w:r/>
      <w:bookmarkEnd w:id="40"/>
      <w:r>
        <w:t xml:space="preserve">2.1. Journée d’intégration dans des institutions culturelles du territoire sur la thématique du jeune public</w:t>
      </w:r>
      <w:bookmarkEnd w:id="41"/>
      <w:r/>
      <w:r/>
    </w:p>
    <w:p>
      <w:pPr>
        <w:pStyle w:val="1084"/>
        <w:pBdr/>
        <w:spacing w:after="113" w:line="240" w:lineRule="auto"/>
        <w:ind w:left="0"/>
        <w:jc w:val="both"/>
        <w:rPr>
          <w:u w:val="single"/>
          <w:lang w:eastAsia="fr-FR"/>
        </w:rPr>
      </w:pPr>
      <w:r>
        <w:rPr>
          <w:b/>
          <w:bCs/>
          <w:lang w:eastAsia="fr-FR"/>
        </w:rPr>
        <w:t xml:space="preserve">Cité du Design, Comédie de Saint-Étienne</w:t>
      </w:r>
      <w:r>
        <w:rPr>
          <w:u w:val="single"/>
          <w:lang w:eastAsia="fr-FR"/>
        </w:rPr>
        <w:t xml:space="preserve"> </w:t>
      </w:r>
      <w:r>
        <w:rPr>
          <w:u w:val="single"/>
          <w:lang w:eastAsia="fr-FR"/>
        </w:rPr>
      </w:r>
    </w:p>
    <w:p>
      <w:pPr>
        <w:pBdr>
          <w:top w:val="none" w:color="000000" w:sz="4" w:space="0"/>
          <w:left w:val="none" w:color="000000" w:sz="4" w:space="0"/>
          <w:bottom w:val="none" w:color="000000" w:sz="4" w:space="0"/>
          <w:right w:val="none" w:color="000000" w:sz="4" w:space="0"/>
        </w:pBdr>
        <w:spacing/>
        <w:ind/>
        <w:jc w:val="both"/>
        <w:rPr>
          <w:color w:val="000000"/>
        </w:rPr>
      </w:pPr>
      <w:r>
        <w:rPr>
          <w:color w:val="000000"/>
        </w:rPr>
        <w:t xml:space="preserve">À l’issue d’une réunion de rentrée avec la responsable pédagogique Anne Damon-Guillot qui présentera la formation, le programme, les intervenant.es, les modalités d’évaluation et l’emploi du temps, les étudiant.es seront accueilli.es dans différentes insti</w:t>
      </w:r>
      <w:r>
        <w:rPr>
          <w:color w:val="000000"/>
        </w:rPr>
        <w:t xml:space="preserve">tutions culturelles du territoire développant des activités jeune public. </w:t>
      </w:r>
      <w:r>
        <w:rPr>
          <w:color w:val="000000"/>
        </w:rPr>
      </w:r>
    </w:p>
    <w:p>
      <w:pPr>
        <w:pBdr>
          <w:top w:val="none" w:color="000000" w:sz="4" w:space="0"/>
          <w:left w:val="none" w:color="000000" w:sz="4" w:space="0"/>
          <w:bottom w:val="none" w:color="000000" w:sz="4" w:space="0"/>
          <w:right w:val="none" w:color="000000" w:sz="4" w:space="0"/>
        </w:pBdr>
        <w:spacing/>
        <w:ind/>
        <w:jc w:val="both"/>
        <w:rPr>
          <w:color w:val="000000"/>
        </w:rPr>
      </w:pPr>
      <w:r>
        <w:rPr>
          <w:color w:val="000000"/>
        </w:rPr>
        <w:t xml:space="preserve">Pour la rentrée 2025-2026, ils se rendront à la Comédie de Saint-Étienne et à la Cité du Design.</w:t>
      </w:r>
      <w:r>
        <w:rPr>
          <w:color w:val="000000"/>
        </w:rPr>
      </w:r>
    </w:p>
    <w:p>
      <w:pPr>
        <w:pStyle w:val="1084"/>
        <w:numPr>
          <w:ilvl w:val="0"/>
          <w:numId w:val="31"/>
        </w:numPr>
        <w:pBdr>
          <w:top w:val="none" w:color="000000" w:sz="4" w:space="0"/>
          <w:left w:val="none" w:color="000000" w:sz="4" w:space="0"/>
          <w:bottom w:val="none" w:color="000000" w:sz="4" w:space="0"/>
          <w:right w:val="none" w:color="000000" w:sz="4" w:space="0"/>
        </w:pBdr>
        <w:spacing/>
        <w:ind w:hanging="425" w:left="0"/>
        <w:jc w:val="both"/>
        <w:rPr>
          <w:b/>
          <w:bCs/>
          <w:i/>
        </w:rPr>
      </w:pPr>
      <w:r>
        <w:rPr>
          <w:b/>
          <w:i/>
          <w:iCs/>
        </w:rPr>
        <w:t xml:space="preserve">Cité du design | Présentation des actions de médiation pour le jeune public </w:t>
      </w:r>
      <w:r>
        <w:rPr>
          <w:b/>
          <w:bCs/>
          <w:i/>
        </w:rPr>
      </w:r>
    </w:p>
    <w:p>
      <w:pPr>
        <w:pStyle w:val="1084"/>
        <w:pBdr>
          <w:top w:val="none" w:color="000000" w:sz="4" w:space="0"/>
          <w:left w:val="none" w:color="000000" w:sz="4" w:space="0"/>
          <w:bottom w:val="none" w:color="000000" w:sz="4" w:space="0"/>
          <w:right w:val="none" w:color="000000" w:sz="4" w:space="0"/>
        </w:pBdr>
        <w:spacing/>
        <w:ind w:left="0"/>
        <w:jc w:val="both"/>
        <w:rPr>
          <w:bCs/>
        </w:rPr>
      </w:pPr>
      <w:r>
        <w:rPr>
          <w:bCs/>
        </w:rPr>
        <w:t xml:space="preserve">Présent</w:t>
      </w:r>
      <w:r>
        <w:rPr>
          <w:bCs/>
        </w:rPr>
        <w:t xml:space="preserve">ation des ateliers de la Cabane du Design</w:t>
      </w:r>
      <w:r>
        <w:rPr>
          <w:bCs/>
        </w:rPr>
      </w:r>
    </w:p>
    <w:p>
      <w:pPr>
        <w:pStyle w:val="1084"/>
        <w:numPr>
          <w:ilvl w:val="0"/>
          <w:numId w:val="32"/>
        </w:numPr>
        <w:pBdr>
          <w:top w:val="none" w:color="000000" w:sz="4" w:space="0"/>
          <w:left w:val="none" w:color="000000" w:sz="4" w:space="0"/>
          <w:bottom w:val="none" w:color="000000" w:sz="4" w:space="0"/>
          <w:right w:val="none" w:color="000000" w:sz="4" w:space="0"/>
        </w:pBdr>
        <w:spacing w:after="0"/>
        <w:ind w:hanging="425" w:left="0"/>
        <w:rPr>
          <w:b/>
          <w:bCs/>
          <w:i/>
          <w:color w:val="000000"/>
        </w:rPr>
      </w:pPr>
      <w:r>
        <w:rPr>
          <w:b/>
          <w:bCs/>
          <w:i/>
          <w:iCs/>
          <w:color w:val="000000"/>
        </w:rPr>
        <w:t xml:space="preserve">Comédie de Saint-</w:t>
      </w:r>
      <w:r>
        <w:rPr>
          <w:b/>
          <w:bCs/>
          <w:i/>
          <w:iCs/>
        </w:rPr>
        <w:t xml:space="preserve">É</w:t>
      </w:r>
      <w:r>
        <w:rPr>
          <w:b/>
          <w:bCs/>
          <w:i/>
          <w:iCs/>
          <w:color w:val="000000"/>
        </w:rPr>
        <w:t xml:space="preserve">tienne</w:t>
      </w:r>
      <w:r>
        <w:rPr>
          <w:b/>
          <w:bCs/>
          <w:i/>
          <w:color w:val="000000"/>
        </w:rPr>
      </w:r>
    </w:p>
    <w:p>
      <w:pPr>
        <w:pBdr>
          <w:top w:val="none" w:color="000000" w:sz="4" w:space="0"/>
          <w:left w:val="none" w:color="000000" w:sz="4" w:space="0"/>
          <w:bottom w:val="none" w:color="000000" w:sz="4" w:space="0"/>
          <w:right w:val="none" w:color="000000" w:sz="4" w:space="0"/>
        </w:pBdr>
        <w:spacing w:after="0"/>
        <w:ind/>
        <w:rPr/>
      </w:pPr>
      <w:r>
        <w:t xml:space="preserve">Présentation et visite de la Comédie suivies d’un é</w:t>
      </w:r>
      <w:r>
        <w:rPr>
          <w:color w:val="000000"/>
        </w:rPr>
        <w:t xml:space="preserve">change avec l’équipe du développement des publics sur la thématique du lien à la jeunesse. </w:t>
      </w:r>
      <w:r/>
    </w:p>
    <w:p>
      <w:pPr>
        <w:pStyle w:val="1084"/>
        <w:pBdr/>
        <w:spacing w:after="0" w:line="240" w:lineRule="auto"/>
        <w:ind w:left="0"/>
        <w:jc w:val="both"/>
        <w:rPr>
          <w:u w:val="single"/>
        </w:rPr>
      </w:pPr>
      <w:r>
        <w:rPr>
          <w:u w:val="single"/>
        </w:rPr>
      </w:r>
      <w:r>
        <w:rPr>
          <w:u w:val="single"/>
        </w:rPr>
      </w:r>
    </w:p>
    <w:p>
      <w:pPr>
        <w:pStyle w:val="893"/>
        <w:pBdr/>
        <w:spacing w:after="0"/>
        <w:ind/>
        <w:jc w:val="both"/>
        <w:rPr/>
      </w:pPr>
      <w:r/>
      <w:bookmarkStart w:id="42" w:name="_2.2._Temps_d’immersion"/>
      <w:r/>
      <w:bookmarkStart w:id="43" w:name="_Toc177566468"/>
      <w:r/>
      <w:bookmarkEnd w:id="42"/>
      <w:r>
        <w:t xml:space="preserve">2.2. Temps d’immersion à l’École de l’oralité</w:t>
      </w:r>
      <w:bookmarkEnd w:id="43"/>
      <w:r/>
      <w:r/>
    </w:p>
    <w:p>
      <w:pPr>
        <w:pBdr/>
        <w:spacing w:after="113"/>
        <w:ind/>
        <w:jc w:val="both"/>
        <w:rPr>
          <w:b/>
          <w:bCs/>
        </w:rPr>
      </w:pPr>
      <w:r>
        <w:rPr>
          <w:b/>
          <w:bCs/>
        </w:rPr>
        <w:t xml:space="preserve">par</w:t>
      </w:r>
      <w:r>
        <w:rPr>
          <w:b/>
          <w:bCs/>
        </w:rPr>
        <w:t xml:space="preserve"> Emmanuel BARDON + équipe École de l’oralité</w:t>
      </w:r>
      <w:r>
        <w:rPr>
          <w:b/>
          <w:bCs/>
        </w:rPr>
      </w:r>
    </w:p>
    <w:p>
      <w:pPr>
        <w:pBdr/>
        <w:spacing/>
        <w:ind/>
        <w:jc w:val="both"/>
        <w:rPr/>
      </w:pPr>
      <w:r/>
      <w:hyperlink r:id="rId22" w:tooltip="https://www.ecoledeloralite.org/" w:history="1">
        <w:r>
          <w:rPr>
            <w:rStyle w:val="1085"/>
          </w:rPr>
          <w:t xml:space="preserve">https://www.ecoledeloralite.org/</w:t>
        </w:r>
      </w:hyperlink>
      <w:r>
        <w:t xml:space="preserve"> </w:t>
      </w:r>
      <w:r/>
    </w:p>
    <w:p>
      <w:pPr>
        <w:pBdr/>
        <w:spacing/>
        <w:ind/>
        <w:jc w:val="both"/>
        <w:rPr/>
      </w:pPr>
      <w:r/>
      <w:r/>
    </w:p>
    <w:p>
      <w:pPr>
        <w:pStyle w:val="893"/>
        <w:pBdr/>
        <w:spacing w:after="0"/>
        <w:ind/>
        <w:jc w:val="both"/>
        <w:rPr/>
      </w:pPr>
      <w:r/>
      <w:bookmarkStart w:id="44" w:name="_2.3._Atelier_collectif"/>
      <w:r/>
      <w:bookmarkStart w:id="45" w:name="_Toc177566469"/>
      <w:r/>
      <w:bookmarkEnd w:id="44"/>
      <w:r>
        <w:t xml:space="preserve">2.3. Atelier collectif de création</w:t>
      </w:r>
      <w:bookmarkEnd w:id="45"/>
      <w:r/>
      <w:r/>
    </w:p>
    <w:p>
      <w:pPr>
        <w:pBdr/>
        <w:spacing w:after="113"/>
        <w:ind/>
        <w:jc w:val="both"/>
        <w:rPr>
          <w:b/>
          <w:bCs/>
        </w:rPr>
      </w:pPr>
      <w:r>
        <w:rPr>
          <w:b/>
          <w:bCs/>
        </w:rPr>
        <w:t xml:space="preserve">par</w:t>
      </w:r>
      <w:r>
        <w:rPr>
          <w:b/>
          <w:bCs/>
        </w:rPr>
        <w:t xml:space="preserve"> Claire LEBRUN</w:t>
      </w:r>
      <w:r>
        <w:rPr>
          <w:b/>
          <w:bCs/>
        </w:rPr>
      </w:r>
    </w:p>
    <w:p>
      <w:pPr>
        <w:pStyle w:val="1084"/>
        <w:pBdr/>
        <w:spacing w:after="0" w:line="240" w:lineRule="auto"/>
        <w:ind w:left="0"/>
        <w:jc w:val="both"/>
        <w:rPr>
          <w:u w:val="single"/>
        </w:rPr>
      </w:pPr>
      <w:r>
        <w:rPr>
          <w:u w:val="single"/>
        </w:rPr>
      </w:r>
      <w:r>
        <w:rPr>
          <w:u w:val="single"/>
        </w:rPr>
      </w:r>
    </w:p>
    <w:p>
      <w:pPr>
        <w:pBdr/>
        <w:spacing/>
        <w:ind/>
        <w:jc w:val="both"/>
        <w:rPr>
          <w:b/>
          <w:bCs/>
        </w:rPr>
      </w:pPr>
      <w:r>
        <w:rPr>
          <w:b/>
          <w:bCs/>
        </w:rPr>
      </w:r>
      <w:r>
        <w:rPr>
          <w:b/>
          <w:bCs/>
        </w:rPr>
      </w:r>
    </w:p>
    <w:p>
      <w:pPr>
        <w:pBdr/>
        <w:spacing/>
        <w:ind/>
        <w:rPr/>
      </w:pPr>
      <w:r>
        <w:br w:type="page" w:clear="all"/>
      </w:r>
      <w:r/>
    </w:p>
    <w:p>
      <w:pPr>
        <w:pStyle w:val="892"/>
        <w:pBdr/>
        <w:spacing/>
        <w:ind/>
        <w:rPr/>
      </w:pPr>
      <w:r/>
      <w:bookmarkStart w:id="46" w:name="_MODULE_DE_SPÉCIALISATION"/>
      <w:r/>
      <w:bookmarkStart w:id="47" w:name="_Toc177566470"/>
      <w:r/>
      <w:bookmarkEnd w:id="46"/>
      <w:r>
        <w:t xml:space="preserve">MODULE DE SPÉCIALISATION</w:t>
      </w:r>
      <w:bookmarkEnd w:id="47"/>
      <w:r>
        <w:t xml:space="preserve"> </w:t>
      </w:r>
      <w:r/>
    </w:p>
    <w:p>
      <w:pPr>
        <w:pBdr/>
        <w:spacing/>
        <w:ind/>
        <w:jc w:val="both"/>
        <w:rPr>
          <w:b/>
          <w:bCs/>
        </w:rPr>
      </w:pPr>
      <w:r>
        <w:rPr>
          <w:b/>
          <w:bCs/>
        </w:rPr>
      </w:r>
      <w:r>
        <w:rPr>
          <w:b/>
          <w:bCs/>
        </w:rPr>
      </w:r>
    </w:p>
    <w:p>
      <w:pPr>
        <w:pBdr/>
        <w:spacing/>
        <w:ind/>
        <w:jc w:val="center"/>
        <w:rPr>
          <w:b/>
          <w:bCs/>
        </w:rPr>
      </w:pPr>
      <w:r>
        <w:rPr>
          <w:b/>
          <w:bCs/>
        </w:rPr>
        <w:t xml:space="preserve">MUSIQUE / ARTS VISUELS (arts plastiques et cinéma d’animation) / THÉÂTRE</w:t>
      </w:r>
      <w:r>
        <w:rPr>
          <w:b/>
          <w:bCs/>
        </w:rPr>
      </w:r>
    </w:p>
    <w:p>
      <w:pPr>
        <w:pBdr/>
        <w:spacing/>
        <w:ind/>
        <w:jc w:val="center"/>
        <w:rPr>
          <w:b/>
          <w:bCs/>
        </w:rPr>
      </w:pPr>
      <w:r>
        <w:rPr>
          <w:b/>
          <w:bCs/>
        </w:rPr>
      </w:r>
      <w:r>
        <w:rPr>
          <w:b/>
          <w:bCs/>
        </w:rPr>
      </w:r>
    </w:p>
    <w:p>
      <w:pPr>
        <w:pStyle w:val="893"/>
        <w:pBdr/>
        <w:spacing w:after="0"/>
        <w:ind/>
        <w:jc w:val="both"/>
        <w:rPr/>
      </w:pPr>
      <w:r/>
      <w:bookmarkStart w:id="48" w:name="_3.1._Édition_numérique"/>
      <w:r/>
      <w:bookmarkStart w:id="49" w:name="_Toc177566471"/>
      <w:r/>
      <w:bookmarkEnd w:id="48"/>
      <w:r>
        <w:t xml:space="preserve">3.1. Édition numérique et médiation</w:t>
      </w:r>
      <w:bookmarkEnd w:id="49"/>
      <w:r>
        <w:t xml:space="preserve"> =&gt; Innovation artistique et culturelle</w:t>
      </w:r>
      <w:r/>
    </w:p>
    <w:p>
      <w:pPr>
        <w:pBdr/>
        <w:spacing/>
        <w:ind/>
        <w:jc w:val="both"/>
        <w:rPr>
          <w:b/>
          <w:bCs/>
        </w:rPr>
      </w:pPr>
      <w:r>
        <w:rPr>
          <w:b/>
          <w:bCs/>
        </w:rPr>
        <w:t xml:space="preserve">par</w:t>
      </w:r>
      <w:r>
        <w:rPr>
          <w:b/>
          <w:bCs/>
        </w:rPr>
        <w:t xml:space="preserve"> Géraldine ALIBERTI et Ludovic LAURENT-TESTORIS</w:t>
      </w:r>
      <w:r>
        <w:rPr>
          <w:b/>
          <w:bCs/>
        </w:rPr>
      </w:r>
    </w:p>
    <w:p>
      <w:pPr>
        <w:pBdr/>
        <w:spacing/>
        <w:ind/>
        <w:jc w:val="both"/>
        <w:rPr>
          <w:color w:val="000000"/>
        </w:rPr>
      </w:pPr>
      <w:r>
        <w:rPr>
          <w:color w:val="000000"/>
        </w:rPr>
        <w:t xml:space="preserve">L’innovation renvoie très souvent aux univers du commerc</w:t>
      </w:r>
      <w:r>
        <w:rPr>
          <w:color w:val="000000"/>
        </w:rPr>
        <w:t xml:space="preserve">e et de la technologie. Mais l’innovation ne se situe-t-elle qu’à cet endroit-là ? </w:t>
      </w:r>
      <w:r>
        <w:rPr>
          <w:color w:val="000000"/>
        </w:rPr>
      </w:r>
    </w:p>
    <w:p>
      <w:pPr>
        <w:pBdr/>
        <w:spacing/>
        <w:ind/>
        <w:jc w:val="both"/>
        <w:rPr>
          <w:color w:val="000000"/>
        </w:rPr>
      </w:pPr>
      <w:r>
        <w:rPr>
          <w:color w:val="000000"/>
        </w:rPr>
        <w:t xml:space="preserve">L'innovation d’usage précède et initie les pratiques en amont des innovations technologiques. Alors l’innovation artistique, culturelle et sociale, ce serait quoi au juste </w:t>
      </w:r>
      <w:r>
        <w:rPr>
          <w:color w:val="000000"/>
        </w:rPr>
        <w:t xml:space="preserve">?</w:t>
      </w:r>
      <w:r>
        <w:rPr>
          <w:color w:val="000000"/>
        </w:rPr>
      </w:r>
    </w:p>
    <w:p>
      <w:pPr>
        <w:pBdr/>
        <w:spacing/>
        <w:ind/>
        <w:jc w:val="both"/>
        <w:rPr>
          <w:color w:val="000000"/>
        </w:rPr>
      </w:pPr>
      <w:r>
        <w:rPr>
          <w:color w:val="000000"/>
        </w:rPr>
        <w:t xml:space="preserve">Un spectacle-parcours dans les bois, un karaoké de façade, une pièce de théâtre avec un orchestre, une joute d’éloquence avant un concert, une application d’orchestration, un orchestre symphonique jouant dans un parking, une expérience immersive en réali</w:t>
      </w:r>
      <w:r>
        <w:rPr>
          <w:color w:val="000000"/>
        </w:rPr>
        <w:t xml:space="preserve">té augmentée, un spectacle jeune public, un projet à plusieurs entrées ? </w:t>
      </w:r>
      <w:r>
        <w:rPr>
          <w:color w:val="000000"/>
        </w:rPr>
      </w:r>
    </w:p>
    <w:p>
      <w:pPr>
        <w:pBdr/>
        <w:spacing/>
        <w:ind/>
        <w:jc w:val="both"/>
        <w:rPr>
          <w:color w:val="000000"/>
        </w:rPr>
      </w:pPr>
      <w:r>
        <w:rPr>
          <w:color w:val="000000"/>
        </w:rPr>
        <w:t xml:space="preserve">Qu</w:t>
      </w:r>
      <w:r>
        <w:rPr>
          <w:color w:val="000000"/>
        </w:rPr>
        <w:t xml:space="preserve">’est ce qui nous déplace vraiment dans l’art et la culture ? Qu’est ce qui crée la rencontre entre les personnes et la musique ? Comment procéder à une première rencontre avec de jeunes publics ? Quels sont les différentes formes de médiation à employer ? </w:t>
      </w:r>
      <w:r>
        <w:rPr>
          <w:color w:val="000000"/>
        </w:rPr>
      </w:r>
    </w:p>
    <w:p>
      <w:pPr>
        <w:pBdr/>
        <w:spacing/>
        <w:ind/>
        <w:jc w:val="both"/>
        <w:rPr>
          <w:color w:val="000000"/>
        </w:rPr>
      </w:pPr>
      <w:r>
        <w:rPr>
          <w:color w:val="000000"/>
        </w:rPr>
        <w:t xml:space="preserve">Ces deux journées de formation proposées par </w:t>
      </w:r>
      <w:r>
        <w:rPr>
          <w:color w:val="000000"/>
        </w:rPr>
        <w:t xml:space="preserve">VIVANT!e</w:t>
      </w:r>
      <w:r>
        <w:rPr>
          <w:color w:val="000000"/>
        </w:rPr>
        <w:t xml:space="preserve"> une compagnie sont l’occasion d’aborder un panorama d’expériences fortes de rencontre entre les artistes et les personnes. Elles se terminent par une après-midi de méthodologie à l’intelligence collect</w:t>
      </w:r>
      <w:r>
        <w:rPr>
          <w:color w:val="000000"/>
        </w:rPr>
        <w:t xml:space="preserve">ive, un outil indispensable pour innover ensemble. </w:t>
      </w:r>
      <w:r>
        <w:rPr>
          <w:color w:val="000000"/>
        </w:rPr>
      </w:r>
    </w:p>
    <w:p>
      <w:pPr>
        <w:pBdr/>
        <w:spacing/>
        <w:ind/>
        <w:rPr>
          <w:b/>
          <w:bCs/>
        </w:rPr>
      </w:pPr>
      <w:r>
        <w:rPr>
          <w:b/>
          <w:bCs/>
        </w:rPr>
      </w:r>
      <w:r>
        <w:rPr>
          <w:b/>
          <w:bCs/>
        </w:rPr>
      </w:r>
    </w:p>
    <w:p>
      <w:pPr>
        <w:pStyle w:val="893"/>
        <w:pBdr/>
        <w:spacing w:after="0"/>
        <w:ind/>
        <w:jc w:val="both"/>
        <w:rPr/>
      </w:pPr>
      <w:r/>
      <w:bookmarkStart w:id="50" w:name="_3.2._Écritures_musicales"/>
      <w:r/>
      <w:bookmarkStart w:id="51" w:name="_Toc177566472"/>
      <w:r/>
      <w:bookmarkEnd w:id="50"/>
      <w:r>
        <w:t xml:space="preserve">3.2. Écritures musicales et sonores pour le jeune public</w:t>
      </w:r>
      <w:bookmarkEnd w:id="51"/>
      <w:r/>
      <w:r/>
    </w:p>
    <w:p>
      <w:pPr>
        <w:pBdr/>
        <w:spacing/>
        <w:ind/>
        <w:jc w:val="both"/>
        <w:rPr>
          <w:b/>
          <w:bCs/>
        </w:rPr>
      </w:pPr>
      <w:r>
        <w:rPr>
          <w:b/>
          <w:bCs/>
        </w:rPr>
        <w:t xml:space="preserve">par</w:t>
      </w:r>
      <w:r>
        <w:rPr>
          <w:b/>
          <w:bCs/>
        </w:rPr>
        <w:t xml:space="preserve"> Gérard AUTHELAIN</w:t>
      </w:r>
      <w:r>
        <w:rPr>
          <w:b/>
          <w:bCs/>
        </w:rPr>
      </w:r>
    </w:p>
    <w:p>
      <w:pPr>
        <w:pBdr>
          <w:top w:val="none" w:color="000000" w:sz="4" w:space="0"/>
          <w:left w:val="none" w:color="000000" w:sz="4" w:space="0"/>
          <w:bottom w:val="none" w:color="000000" w:sz="4" w:space="0"/>
          <w:right w:val="none" w:color="000000" w:sz="4" w:space="0"/>
        </w:pBdr>
        <w:spacing w:after="0"/>
        <w:ind/>
        <w:jc w:val="both"/>
        <w:rPr/>
      </w:pPr>
      <w:r>
        <w:rPr>
          <w:b/>
          <w:i/>
          <w:color w:val="000000"/>
        </w:rPr>
        <w:t xml:space="preserve">Musique et jeunes oreilles</w:t>
      </w:r>
      <w:r/>
    </w:p>
    <w:p>
      <w:pPr>
        <w:pBdr>
          <w:top w:val="none" w:color="000000" w:sz="4" w:space="0"/>
          <w:left w:val="none" w:color="000000" w:sz="4" w:space="0"/>
          <w:bottom w:val="none" w:color="000000" w:sz="4" w:space="0"/>
          <w:right w:val="none" w:color="000000" w:sz="4" w:space="0"/>
        </w:pBdr>
        <w:spacing w:after="0"/>
        <w:ind/>
        <w:jc w:val="both"/>
        <w:rPr/>
      </w:pPr>
      <w:r>
        <w:rPr>
          <w:color w:val="000000"/>
        </w:rPr>
        <w:t xml:space="preserve">L’Éducation Artistique et Culturelle est devenue l’étendard élevé par les établissements culturels</w:t>
      </w:r>
      <w:r>
        <w:rPr>
          <w:color w:val="000000"/>
        </w:rPr>
        <w:t xml:space="preserve"> et d’enseignement pour légitimer leurs pratiques quand ils proposent des actions en direction des enfants. Lorsque vient la question de savoir ce que l’on propose à ces derniers en musique à la fois pour leur écoute et pour leur pratique, les réflexions s</w:t>
      </w:r>
      <w:r>
        <w:rPr>
          <w:color w:val="000000"/>
        </w:rPr>
        <w:t xml:space="preserve">ur l’EAC arrivent en ordre dispersé et dans des formulations peu homogènes entre les différents promoteurs. </w:t>
      </w:r>
      <w:r/>
    </w:p>
    <w:p>
      <w:pPr>
        <w:pBdr>
          <w:top w:val="none" w:color="000000" w:sz="4" w:space="0"/>
          <w:left w:val="none" w:color="000000" w:sz="4" w:space="0"/>
          <w:bottom w:val="none" w:color="000000" w:sz="4" w:space="0"/>
          <w:right w:val="none" w:color="000000" w:sz="4" w:space="0"/>
        </w:pBdr>
        <w:spacing w:after="0"/>
        <w:ind/>
        <w:jc w:val="both"/>
        <w:rPr/>
      </w:pPr>
      <w:r>
        <w:rPr>
          <w:color w:val="000000"/>
        </w:rPr>
        <w:t xml:space="preserve">Il est nécessaire de comprendre, documents en mains, comment et à partir de quoi se forme l’oreille d’un enfant. Autrement dit il s’agit de voir ce</w:t>
      </w:r>
      <w:r>
        <w:rPr>
          <w:color w:val="000000"/>
        </w:rPr>
        <w:t xml:space="preserve"> qu’on lui propose comme pièces pour chanter, pour jouer individuellement ou collectivement, comme pièces balayant l’ensemble des esthétiques musicales à travers l’histoire et à travers les pays, avec une incursion dans la médiathèque, réelle ou virtuelle,</w:t>
      </w:r>
      <w:r>
        <w:rPr>
          <w:color w:val="000000"/>
        </w:rPr>
        <w:t xml:space="preserve"> des livres disques ou CD. Une telle enquête amène également à voir quels types de liens peuvent être faits avec d’autres disciplines artistiques, et notamment ce qui a trait aux arts visuels et à l’art de la danse.</w:t>
      </w: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t xml:space="preserve">Aborder ces questions relève d’abord d’u</w:t>
      </w:r>
      <w:r>
        <w:rPr>
          <w:color w:val="000000"/>
        </w:rPr>
        <w:t xml:space="preserve">n examen sur pièces. Il s’agit avant tout de consulter ce qui existe dans le domaine des ressources et des archives, collectives ou individuelles, en matière de partitions, livres-disques, podcasts, CD, DVD, etc. Il faut alors choisir les critères qui perm</w:t>
      </w:r>
      <w:r>
        <w:rPr>
          <w:color w:val="000000"/>
        </w:rPr>
        <w:t xml:space="preserve">ettront d’apprécier tel enregistrement, telle écriture contemporaine, telle pièce revisitée du répertoire traditionnel, etc. Pour des étudiants en Université, le plus utile est la confrontation de </w:t>
      </w:r>
      <w:r>
        <w:rPr>
          <w:color w:val="000000"/>
        </w:rPr>
        <w:t xml:space="preserve">documents divers à travers lesquels ils peuvent progressive</w:t>
      </w:r>
      <w:r>
        <w:rPr>
          <w:color w:val="000000"/>
        </w:rPr>
        <w:t xml:space="preserve">ment, et par un échange entre eux, dégager les repères d’appréciation.</w:t>
      </w:r>
      <w:r>
        <w:rPr>
          <w:color w:val="000000"/>
        </w:rPr>
      </w:r>
    </w:p>
    <w:p>
      <w:pPr>
        <w:pStyle w:val="893"/>
        <w:pBdr/>
        <w:spacing w:after="0" w:before="0"/>
        <w:ind/>
        <w:jc w:val="both"/>
        <w:rPr/>
      </w:pPr>
      <w:r/>
      <w:r/>
    </w:p>
    <w:p>
      <w:pPr>
        <w:pStyle w:val="893"/>
        <w:pBdr/>
        <w:spacing w:after="0"/>
        <w:ind/>
        <w:jc w:val="both"/>
        <w:rPr/>
      </w:pPr>
      <w:r/>
      <w:bookmarkStart w:id="52" w:name="_3.3._Programmation_jeune"/>
      <w:r/>
      <w:bookmarkStart w:id="53" w:name="_Toc177566473"/>
      <w:r/>
      <w:bookmarkEnd w:id="52"/>
      <w:r>
        <w:t xml:space="preserve">3.3. Programmation jeune public</w:t>
      </w:r>
      <w:bookmarkEnd w:id="53"/>
      <w:r/>
      <w:r/>
    </w:p>
    <w:p>
      <w:pPr>
        <w:pBdr/>
        <w:spacing/>
        <w:ind/>
        <w:jc w:val="both"/>
        <w:rPr/>
      </w:pPr>
      <w:r>
        <w:rPr>
          <w:b/>
          <w:bCs/>
        </w:rPr>
        <w:t xml:space="preserve">par</w:t>
      </w:r>
      <w:r>
        <w:rPr>
          <w:b/>
          <w:bCs/>
        </w:rPr>
        <w:t xml:space="preserve"> Luciana</w:t>
      </w:r>
      <w:r>
        <w:rPr>
          <w:rStyle w:val="1067"/>
        </w:rPr>
        <w:t xml:space="preserve"> </w:t>
      </w:r>
      <w:r>
        <w:rPr>
          <w:rStyle w:val="1067"/>
        </w:rPr>
        <w:t xml:space="preserve">Penna</w:t>
      </w:r>
      <w:r/>
    </w:p>
    <w:p>
      <w:pPr>
        <w:pBdr/>
        <w:spacing/>
        <w:ind/>
        <w:jc w:val="both"/>
        <w:rPr/>
      </w:pPr>
      <w:r>
        <w:t xml:space="preserve">L’objectif de ce cours est d’éclairer les étudiants sur les raisons et les spécificités d’une programmation en direction du jeune publ</w:t>
      </w:r>
      <w:r>
        <w:t xml:space="preserve">ic. En s’appuyant sur l’exemple de la Philharmonie de Paris, il leur donne des outils concrets et des pistes de méthodologie pour intégrer la problématique du jeune public à leurs futures activités.</w:t>
      </w:r>
      <w:r/>
    </w:p>
    <w:p>
      <w:pPr>
        <w:pBdr>
          <w:top w:val="none" w:color="000000" w:sz="4" w:space="0"/>
          <w:left w:val="none" w:color="000000" w:sz="4" w:space="0"/>
          <w:bottom w:val="none" w:color="000000" w:sz="4" w:space="0"/>
          <w:right w:val="none" w:color="000000" w:sz="4" w:space="0"/>
        </w:pBdr>
        <w:spacing w:after="0"/>
        <w:ind/>
        <w:jc w:val="both"/>
        <w:rPr/>
      </w:pPr>
      <w:r/>
      <w:r/>
    </w:p>
    <w:p>
      <w:pPr>
        <w:pStyle w:val="893"/>
        <w:pBdr/>
        <w:spacing w:after="0"/>
        <w:ind/>
        <w:jc w:val="both"/>
        <w:rPr/>
      </w:pPr>
      <w:r/>
      <w:bookmarkStart w:id="54" w:name="_3.4._Médiation_artistique"/>
      <w:r/>
      <w:bookmarkStart w:id="55" w:name="_Toc177566474"/>
      <w:r/>
      <w:bookmarkEnd w:id="54"/>
      <w:r>
        <w:t xml:space="preserve">3.4. Médiation artistique et culturelle : l’exemple du j</w:t>
      </w:r>
      <w:r>
        <w:t xml:space="preserve">eune public – musique contemporaine</w:t>
      </w:r>
      <w:bookmarkEnd w:id="55"/>
      <w:r>
        <w:t xml:space="preserve"> </w:t>
      </w:r>
      <w:r/>
    </w:p>
    <w:p>
      <w:pPr>
        <w:pBdr/>
        <w:spacing/>
        <w:ind/>
        <w:jc w:val="both"/>
        <w:rPr>
          <w:b/>
        </w:rPr>
      </w:pPr>
      <w:r>
        <w:rPr>
          <w:b/>
          <w:bCs/>
        </w:rPr>
        <w:t xml:space="preserve">par</w:t>
      </w:r>
      <w:r>
        <w:rPr>
          <w:b/>
          <w:bCs/>
        </w:rPr>
        <w:t xml:space="preserve"> Amélie FINET</w:t>
      </w:r>
      <w:r>
        <w:rPr>
          <w:b/>
        </w:rPr>
      </w:r>
    </w:p>
    <w:p>
      <w:pPr>
        <w:pBdr>
          <w:top w:val="none" w:color="000000" w:sz="4" w:space="0"/>
          <w:left w:val="none" w:color="000000" w:sz="4" w:space="0"/>
          <w:bottom w:val="none" w:color="000000" w:sz="4" w:space="0"/>
          <w:right w:val="none" w:color="000000" w:sz="4" w:space="0"/>
        </w:pBdr>
        <w:spacing/>
        <w:ind/>
        <w:jc w:val="both"/>
        <w:rPr>
          <w:color w:val="000000"/>
          <w:highlight w:val="white"/>
        </w:rPr>
      </w:pPr>
      <w:r>
        <w:rPr>
          <w:color w:val="000000"/>
          <w:highlight w:val="white"/>
        </w:rPr>
        <w:t xml:space="preserve">En tant que structure culturelle et artistique, l’Ensemble Orchestral Contemporain remplit un devoir de médiation au travers de sa</w:t>
      </w:r>
      <w:r>
        <w:rPr>
          <w:i/>
          <w:color w:val="000000"/>
        </w:rPr>
        <w:t xml:space="preserve"> fabrique EOC</w:t>
      </w:r>
      <w:r>
        <w:rPr>
          <w:color w:val="000000"/>
          <w:highlight w:val="white"/>
        </w:rPr>
        <w:t xml:space="preserve">. Les publics bénéficiant d’actions de médiation sont multi</w:t>
      </w:r>
      <w:r>
        <w:rPr>
          <w:color w:val="000000"/>
          <w:highlight w:val="white"/>
        </w:rPr>
        <w:t xml:space="preserve">ples, mais les publics amateurs et le jeune public représentent un réel enjeu pour la musique contemporaine. Nous découvrirons par quels moyens la médiation peut être déployée au service de la sensibilisation au répertoire contemporain, de la découverte de</w:t>
      </w:r>
      <w:r>
        <w:rPr>
          <w:color w:val="000000"/>
          <w:highlight w:val="white"/>
        </w:rPr>
        <w:t xml:space="preserve">s créations dans toute leur diversité et du développement des liens sur le territoire.</w:t>
      </w:r>
      <w:r>
        <w:rPr>
          <w:color w:val="000000"/>
          <w:highlight w:val="white"/>
        </w:rPr>
      </w:r>
    </w:p>
    <w:p>
      <w:pPr>
        <w:pBdr>
          <w:top w:val="none" w:color="000000" w:sz="4" w:space="0"/>
          <w:left w:val="none" w:color="000000" w:sz="4" w:space="0"/>
          <w:bottom w:val="none" w:color="000000" w:sz="4" w:space="0"/>
          <w:right w:val="none" w:color="000000" w:sz="4" w:space="0"/>
        </w:pBdr>
        <w:spacing/>
        <w:ind/>
        <w:jc w:val="both"/>
        <w:rPr>
          <w:color w:val="000000"/>
          <w:highlight w:val="white"/>
        </w:rPr>
      </w:pPr>
      <w:r>
        <w:rPr>
          <w:color w:val="000000"/>
          <w:highlight w:val="white"/>
        </w:rPr>
      </w:r>
      <w:r>
        <w:rPr>
          <w:color w:val="000000"/>
          <w:highlight w:val="white"/>
        </w:rPr>
      </w:r>
    </w:p>
    <w:p>
      <w:pPr>
        <w:pStyle w:val="893"/>
        <w:pBdr/>
        <w:spacing w:after="0"/>
        <w:ind/>
        <w:jc w:val="both"/>
        <w:rPr/>
      </w:pPr>
      <w:r/>
      <w:bookmarkStart w:id="56" w:name="_3.5._Médiation_artistique"/>
      <w:r/>
      <w:bookmarkStart w:id="57" w:name="_Toc177566475"/>
      <w:r/>
      <w:bookmarkStart w:id="58" w:name="_Hlk203558397"/>
      <w:r/>
      <w:bookmarkEnd w:id="56"/>
      <w:r>
        <w:t xml:space="preserve">3.5. Médiation artistique et culturelle : l’exemple du jeune public – art contemporain</w:t>
      </w:r>
      <w:bookmarkEnd w:id="57"/>
      <w:r>
        <w:t xml:space="preserve"> </w:t>
      </w:r>
      <w:r/>
    </w:p>
    <w:p>
      <w:pPr>
        <w:pBdr/>
        <w:spacing/>
        <w:ind/>
        <w:jc w:val="both"/>
        <w:rPr>
          <w:b/>
          <w:bCs/>
          <w:strike/>
        </w:rPr>
      </w:pPr>
      <w:r>
        <w:rPr>
          <w:b/>
          <w:bCs/>
        </w:rPr>
        <w:t xml:space="preserve">par</w:t>
      </w:r>
      <w:r>
        <w:rPr>
          <w:b/>
          <w:bCs/>
        </w:rPr>
        <w:t xml:space="preserve"> Sarah MATTERA</w:t>
      </w:r>
      <w:bookmarkEnd w:id="58"/>
      <w:r/>
      <w:r>
        <w:rPr>
          <w:b/>
          <w:bCs/>
          <w:strike/>
        </w:rPr>
      </w:r>
    </w:p>
    <w:p>
      <w:pPr>
        <w:pBdr/>
        <w:spacing/>
        <w:ind/>
        <w:jc w:val="both"/>
        <w:rPr>
          <w:b/>
          <w:bCs/>
        </w:rPr>
      </w:pPr>
      <w:r>
        <w:rPr>
          <w:b/>
          <w:bCs/>
        </w:rPr>
      </w:r>
      <w:r>
        <w:rPr>
          <w:b/>
          <w:bCs/>
        </w:rPr>
      </w:r>
    </w:p>
    <w:p>
      <w:pPr>
        <w:pStyle w:val="893"/>
        <w:pBdr/>
        <w:spacing w:after="0"/>
        <w:ind/>
        <w:jc w:val="both"/>
        <w:rPr>
          <w:color w:val="000000"/>
          <w:spacing w:val="-2"/>
        </w:rPr>
      </w:pPr>
      <w:r/>
      <w:bookmarkStart w:id="59" w:name="_3.6._Illustration_jeunesse"/>
      <w:r/>
      <w:bookmarkStart w:id="60" w:name="_Toc177566476"/>
      <w:r/>
      <w:bookmarkEnd w:id="59"/>
      <w:r>
        <w:t xml:space="preserve">3.6. </w:t>
      </w:r>
      <w:r>
        <w:rPr>
          <w:color w:val="000000"/>
        </w:rPr>
        <w:t xml:space="preserve">Illustration </w:t>
      </w:r>
      <w:r>
        <w:rPr>
          <w:color w:val="000000"/>
          <w:spacing w:val="-2"/>
        </w:rPr>
        <w:t xml:space="preserve">jeunesse</w:t>
      </w:r>
      <w:bookmarkEnd w:id="60"/>
      <w:r/>
      <w:r>
        <w:rPr>
          <w:color w:val="000000"/>
          <w:spacing w:val="-2"/>
        </w:rPr>
      </w:r>
    </w:p>
    <w:p>
      <w:pPr>
        <w:pBdr/>
        <w:spacing/>
        <w:ind/>
        <w:jc w:val="both"/>
        <w:rPr>
          <w:b/>
          <w:bCs/>
        </w:rPr>
      </w:pPr>
      <w:r>
        <w:rPr>
          <w:b/>
          <w:bCs/>
        </w:rPr>
        <w:t xml:space="preserve">par</w:t>
      </w:r>
      <w:r>
        <w:rPr>
          <w:b/>
          <w:bCs/>
        </w:rPr>
        <w:t xml:space="preserve"> Véronique VERNETTE</w:t>
      </w:r>
      <w:r>
        <w:rPr>
          <w:b/>
          <w:bCs/>
        </w:rPr>
      </w:r>
    </w:p>
    <w:p>
      <w:pPr>
        <w:pBdr>
          <w:top w:val="none" w:color="000000" w:sz="4" w:space="0"/>
          <w:left w:val="none" w:color="000000" w:sz="4" w:space="0"/>
          <w:bottom w:val="none" w:color="000000" w:sz="4" w:space="0"/>
          <w:right w:val="none" w:color="000000" w:sz="4" w:space="0"/>
        </w:pBdr>
        <w:spacing w:after="0"/>
        <w:ind/>
        <w:jc w:val="both"/>
        <w:rPr/>
      </w:pPr>
      <w:r>
        <w:rPr>
          <w:color w:val="000000"/>
        </w:rPr>
        <w:t xml:space="preserve">Une première partie de la séance avec les étudiants consistera à leur faire découvrir le métier d’autrice-illustratrice à travers des albums, des croquis préparatoires, carnets de voyage, planches originales, afin de leur montrer les enjeux qu’il y a à exa</w:t>
      </w:r>
      <w:r>
        <w:rPr>
          <w:color w:val="000000"/>
        </w:rPr>
        <w:t xml:space="preserve">miner ces étapes de travail pour le jeune public, à lui faire appréhender la fabrication d'un album illustré et l’ensemble de la chaîne du livre.</w:t>
      </w:r>
      <w:r/>
    </w:p>
    <w:p>
      <w:pPr>
        <w:pBdr>
          <w:top w:val="none" w:color="000000" w:sz="4" w:space="0"/>
          <w:left w:val="none" w:color="000000" w:sz="4" w:space="0"/>
          <w:bottom w:val="none" w:color="000000" w:sz="4" w:space="0"/>
          <w:right w:val="none" w:color="000000" w:sz="4" w:space="0"/>
        </w:pBdr>
        <w:spacing w:after="0"/>
        <w:ind/>
        <w:jc w:val="both"/>
        <w:rPr/>
      </w:pPr>
      <w:r>
        <w:rPr>
          <w:color w:val="000000"/>
        </w:rPr>
        <w:t xml:space="preserve">Dans un deuxième temps, il s’agira de montrer plusieurs façons de travailler avec les enfants à partir d’un al</w:t>
      </w:r>
      <w:r>
        <w:rPr>
          <w:color w:val="000000"/>
        </w:rPr>
        <w:t xml:space="preserve">bum, les ateliers envisageables en écriture comme en illustration, sur des temps plus ou moins longs. À partir d’exemple concrets issus de mon travail, nous analyserons l’intérêt et la portée d’une transmission aux enfants du plaisir de la création, en lie</w:t>
      </w:r>
      <w:r>
        <w:rPr>
          <w:color w:val="000000"/>
        </w:rPr>
        <w:t xml:space="preserve">n avec un livre comme dans le cadre d’ateliers d’arts plastiques.</w:t>
      </w:r>
      <w:r/>
    </w:p>
    <w:p>
      <w:pPr>
        <w:pBdr>
          <w:top w:val="none" w:color="000000" w:sz="4" w:space="0"/>
          <w:left w:val="none" w:color="000000" w:sz="4" w:space="0"/>
          <w:bottom w:val="none" w:color="000000" w:sz="4" w:space="0"/>
          <w:right w:val="none" w:color="000000" w:sz="4" w:space="0"/>
        </w:pBdr>
        <w:spacing w:after="0"/>
        <w:ind/>
        <w:jc w:val="both"/>
        <w:rPr/>
      </w:pPr>
      <w:r>
        <w:rPr>
          <w:color w:val="000000"/>
        </w:rPr>
        <w:t xml:space="preserve">Un atelier pratique sera ensuite proposé aux étudiants à partir d’un album jeunesse de leur choix, afin qu’ils se mettent en situation de construire une séance s’adressant à un jeune public.</w:t>
      </w:r>
      <w:r/>
    </w:p>
    <w:p>
      <w:pPr>
        <w:pBdr>
          <w:top w:val="none" w:color="000000" w:sz="4" w:space="0"/>
          <w:left w:val="none" w:color="000000" w:sz="4" w:space="0"/>
          <w:bottom w:val="none" w:color="000000" w:sz="4" w:space="0"/>
          <w:right w:val="none" w:color="000000" w:sz="4" w:space="0"/>
        </w:pBdr>
        <w:spacing/>
        <w:ind/>
        <w:jc w:val="both"/>
        <w:rPr/>
      </w:pPr>
      <w:r/>
      <w:r/>
    </w:p>
    <w:p>
      <w:pPr>
        <w:pStyle w:val="893"/>
        <w:pBdr/>
        <w:spacing w:after="0"/>
        <w:ind/>
        <w:jc w:val="both"/>
        <w:rPr>
          <w:highlight w:val="none"/>
        </w:rPr>
      </w:pPr>
      <w:r>
        <w:rPr>
          <w:highlight w:val="none"/>
        </w:rPr>
      </w:r>
      <w:r>
        <w:rPr>
          <w:highlight w:val="none"/>
        </w:rPr>
      </w:r>
    </w:p>
    <w:p>
      <w:pPr>
        <w:pStyle w:val="893"/>
        <w:pBdr/>
        <w:spacing w:after="0"/>
        <w:ind/>
        <w:jc w:val="both"/>
        <w:rPr>
          <w:highlight w:val="none"/>
        </w:rPr>
      </w:pPr>
      <w:r>
        <w:rPr>
          <w:highlight w:val="none"/>
        </w:rPr>
      </w:r>
      <w:r>
        <w:rPr>
          <w:highlight w:val="none"/>
        </w:rPr>
      </w:r>
    </w:p>
    <w:p>
      <w:pPr>
        <w:pStyle w:val="893"/>
        <w:pBdr/>
        <w:spacing w:after="0"/>
        <w:ind/>
        <w:jc w:val="both"/>
        <w:rPr>
          <w:highlight w:val="none"/>
        </w:rPr>
      </w:pPr>
      <w:r>
        <w:rPr>
          <w:highlight w:val="none"/>
        </w:rPr>
      </w:r>
      <w:r>
        <w:rPr>
          <w:highlight w:val="none"/>
        </w:rPr>
      </w:r>
    </w:p>
    <w:p>
      <w:pPr>
        <w:pStyle w:val="893"/>
        <w:pBdr/>
        <w:spacing w:after="0"/>
        <w:ind/>
        <w:jc w:val="both"/>
        <w:rPr>
          <w:highlight w:val="none"/>
        </w:rPr>
      </w:pPr>
      <w:r>
        <w:rPr>
          <w:highlight w:val="none"/>
        </w:rPr>
      </w:r>
      <w:r>
        <w:rPr>
          <w:highlight w:val="none"/>
        </w:rPr>
      </w:r>
    </w:p>
    <w:p>
      <w:pPr>
        <w:pStyle w:val="893"/>
        <w:pBdr/>
        <w:spacing w:after="0"/>
        <w:ind/>
        <w:jc w:val="both"/>
        <w:rPr>
          <w:highlight w:val="none"/>
        </w:rPr>
      </w:pPr>
      <w:r/>
      <w:bookmarkStart w:id="61" w:name="_3.7._Cinéma_d'animation"/>
      <w:r/>
      <w:bookmarkStart w:id="62" w:name="_Toc177566477"/>
      <w:r/>
      <w:bookmarkEnd w:id="61"/>
      <w:r>
        <w:t xml:space="preserve">3.7. </w:t>
      </w:r>
      <w:r>
        <w:rPr>
          <w:color w:val="000000"/>
        </w:rPr>
        <w:t xml:space="preserve">Cinéma d'animation pour la jeunesse : perspectives historiques et </w:t>
      </w:r>
      <w:r>
        <w:rPr>
          <w:color w:val="000000"/>
          <w:spacing w:val="-2"/>
        </w:rPr>
        <w:t xml:space="preserve">esthétiques</w:t>
      </w:r>
      <w:bookmarkEnd w:id="62"/>
      <w:r/>
      <w:r>
        <w:rPr>
          <w:color w:val="000000"/>
          <w:spacing w:val="-2"/>
        </w:rPr>
      </w:r>
    </w:p>
    <w:p>
      <w:pPr>
        <w:pBdr/>
        <w:spacing/>
        <w:ind/>
        <w:jc w:val="both"/>
        <w:rPr>
          <w:b/>
        </w:rPr>
      </w:pPr>
      <w:r>
        <w:rPr>
          <w:b/>
          <w:bCs/>
        </w:rPr>
        <w:t xml:space="preserve">par</w:t>
      </w:r>
      <w:r>
        <w:rPr>
          <w:b/>
          <w:bCs/>
        </w:rPr>
        <w:t xml:space="preserve"> Jérôme DUTEL</w:t>
      </w:r>
      <w:r>
        <w:rPr>
          <w:b/>
        </w:rPr>
      </w:r>
    </w:p>
    <w:p>
      <w:pPr>
        <w:pBdr>
          <w:top w:val="none" w:color="000000" w:sz="4" w:space="0"/>
          <w:left w:val="none" w:color="000000" w:sz="4" w:space="0"/>
          <w:bottom w:val="none" w:color="000000" w:sz="4" w:space="0"/>
          <w:right w:val="none" w:color="000000" w:sz="4" w:space="0"/>
        </w:pBdr>
        <w:spacing w:after="113"/>
        <w:ind/>
        <w:jc w:val="both"/>
        <w:rPr/>
      </w:pPr>
      <w:r>
        <w:rPr>
          <w:color w:val="000000"/>
        </w:rPr>
        <w:t xml:space="preserve">Cet enseignement présentera un survol historique et esthétique du cinéma d’animation (histoire des techniques, positionnements et réceptions, problématiqu</w:t>
      </w:r>
      <w:r>
        <w:rPr>
          <w:color w:val="000000"/>
        </w:rPr>
        <w:t xml:space="preserve">es artistiques et directions économiques) tout en abordant des perspectives contemporaines et en ouvrant aux dimensions internationales et </w:t>
      </w:r>
      <w:r>
        <w:rPr>
          <w:color w:val="000000"/>
        </w:rPr>
        <w:t xml:space="preserve">intermédiales</w:t>
      </w:r>
      <w:r>
        <w:rPr>
          <w:color w:val="000000"/>
        </w:rPr>
        <w:t xml:space="preserve">.</w:t>
      </w:r>
      <w:r/>
    </w:p>
    <w:p>
      <w:pPr>
        <w:pBdr>
          <w:top w:val="none" w:color="000000" w:sz="4" w:space="0"/>
          <w:left w:val="none" w:color="000000" w:sz="4" w:space="0"/>
          <w:bottom w:val="none" w:color="000000" w:sz="4" w:space="0"/>
          <w:right w:val="none" w:color="000000" w:sz="4" w:space="0"/>
        </w:pBdr>
        <w:spacing w:after="0"/>
        <w:ind/>
        <w:jc w:val="both"/>
        <w:rPr>
          <w:sz w:val="20"/>
          <w:szCs w:val="20"/>
        </w:rPr>
      </w:pPr>
      <w:r>
        <w:rPr>
          <w:color w:val="000000"/>
          <w:sz w:val="20"/>
          <w:szCs w:val="20"/>
        </w:rPr>
        <w:t xml:space="preserve">Bibliographie :</w:t>
      </w:r>
      <w:r>
        <w:rPr>
          <w:sz w:val="20"/>
          <w:szCs w:val="20"/>
        </w:rPr>
      </w:r>
    </w:p>
    <w:p>
      <w:pPr>
        <w:pBdr>
          <w:top w:val="none" w:color="000000" w:sz="4" w:space="0"/>
          <w:left w:val="none" w:color="000000" w:sz="4" w:space="0"/>
          <w:bottom w:val="none" w:color="000000" w:sz="4" w:space="0"/>
          <w:right w:val="none" w:color="000000" w:sz="4" w:space="0"/>
        </w:pBdr>
        <w:spacing w:after="0"/>
        <w:ind/>
        <w:jc w:val="both"/>
        <w:rPr>
          <w:sz w:val="20"/>
          <w:szCs w:val="20"/>
        </w:rPr>
      </w:pPr>
      <w:r>
        <w:rPr>
          <w:color w:val="000000"/>
          <w:sz w:val="20"/>
          <w:szCs w:val="20"/>
        </w:rPr>
        <w:t xml:space="preserve">Olivier Cotte, </w:t>
      </w:r>
      <w:r>
        <w:rPr>
          <w:i/>
          <w:color w:val="000000"/>
          <w:sz w:val="20"/>
          <w:szCs w:val="20"/>
        </w:rPr>
        <w:t xml:space="preserve">Les Oscars du film d’animation</w:t>
      </w:r>
      <w:r>
        <w:rPr>
          <w:color w:val="000000"/>
          <w:sz w:val="20"/>
          <w:szCs w:val="20"/>
        </w:rPr>
        <w:t xml:space="preserve"> (Eyrolles, 2006)</w:t>
      </w:r>
      <w:r>
        <w:rPr>
          <w:sz w:val="20"/>
          <w:szCs w:val="20"/>
        </w:rPr>
      </w:r>
    </w:p>
    <w:p>
      <w:pPr>
        <w:pBdr>
          <w:top w:val="none" w:color="000000" w:sz="4" w:space="0"/>
          <w:left w:val="none" w:color="000000" w:sz="4" w:space="0"/>
          <w:bottom w:val="none" w:color="000000" w:sz="4" w:space="0"/>
          <w:right w:val="none" w:color="000000" w:sz="4" w:space="0"/>
        </w:pBdr>
        <w:spacing w:after="0"/>
        <w:ind/>
        <w:jc w:val="both"/>
        <w:rPr>
          <w:sz w:val="20"/>
          <w:szCs w:val="20"/>
        </w:rPr>
      </w:pPr>
      <w:r>
        <w:rPr>
          <w:color w:val="000000"/>
          <w:sz w:val="20"/>
          <w:szCs w:val="20"/>
        </w:rPr>
        <w:t xml:space="preserve">Xavier Kawa-Topor et Philippe Moins, </w:t>
      </w:r>
      <w:r>
        <w:rPr>
          <w:i/>
          <w:color w:val="000000"/>
          <w:sz w:val="20"/>
          <w:szCs w:val="20"/>
        </w:rPr>
        <w:t xml:space="preserve">Le Cinéma d’animation en 100 films</w:t>
      </w:r>
      <w:r>
        <w:rPr>
          <w:color w:val="000000"/>
          <w:sz w:val="20"/>
          <w:szCs w:val="20"/>
        </w:rPr>
        <w:t xml:space="preserve"> (</w:t>
      </w:r>
      <w:r>
        <w:rPr>
          <w:color w:val="000000"/>
          <w:sz w:val="20"/>
          <w:szCs w:val="20"/>
        </w:rPr>
        <w:t xml:space="preserve">Capricci</w:t>
      </w:r>
      <w:r>
        <w:rPr>
          <w:color w:val="000000"/>
          <w:sz w:val="20"/>
          <w:szCs w:val="20"/>
        </w:rPr>
        <w:t xml:space="preserve">, 2016)</w:t>
      </w:r>
      <w:r>
        <w:rPr>
          <w:sz w:val="20"/>
          <w:szCs w:val="20"/>
        </w:rPr>
      </w:r>
    </w:p>
    <w:p>
      <w:pPr>
        <w:pBdr>
          <w:top w:val="none" w:color="000000" w:sz="4" w:space="0"/>
          <w:left w:val="none" w:color="000000" w:sz="4" w:space="0"/>
          <w:bottom w:val="none" w:color="000000" w:sz="4" w:space="0"/>
          <w:right w:val="none" w:color="000000" w:sz="4" w:space="0"/>
        </w:pBdr>
        <w:spacing w:after="0"/>
        <w:ind/>
        <w:jc w:val="both"/>
        <w:rPr>
          <w:sz w:val="20"/>
          <w:szCs w:val="20"/>
        </w:rPr>
      </w:pPr>
      <w:r>
        <w:rPr>
          <w:color w:val="000000"/>
          <w:sz w:val="20"/>
          <w:szCs w:val="20"/>
        </w:rPr>
        <w:t xml:space="preserve">Laurent </w:t>
      </w:r>
      <w:r>
        <w:rPr>
          <w:color w:val="000000"/>
          <w:sz w:val="20"/>
          <w:szCs w:val="20"/>
        </w:rPr>
        <w:t xml:space="preserve">Valière</w:t>
      </w:r>
      <w:r>
        <w:rPr>
          <w:color w:val="000000"/>
          <w:sz w:val="20"/>
          <w:szCs w:val="20"/>
        </w:rPr>
        <w:t xml:space="preserve">, </w:t>
      </w:r>
      <w:r>
        <w:rPr>
          <w:i/>
          <w:color w:val="000000"/>
          <w:sz w:val="20"/>
          <w:szCs w:val="20"/>
        </w:rPr>
        <w:t xml:space="preserve">Cinéma d’animation, la French </w:t>
      </w:r>
      <w:r>
        <w:rPr>
          <w:i/>
          <w:color w:val="000000"/>
          <w:sz w:val="20"/>
          <w:szCs w:val="20"/>
        </w:rPr>
        <w:t xml:space="preserve">Touch</w:t>
      </w:r>
      <w:r>
        <w:rPr>
          <w:color w:val="000000"/>
          <w:sz w:val="20"/>
          <w:szCs w:val="20"/>
        </w:rPr>
        <w:t xml:space="preserve"> (La Martinière, 2017)</w:t>
      </w:r>
      <w:r>
        <w:rPr>
          <w:sz w:val="20"/>
          <w:szCs w:val="20"/>
        </w:rPr>
      </w:r>
    </w:p>
    <w:p>
      <w:pPr>
        <w:pBdr/>
        <w:spacing/>
        <w:ind/>
        <w:rPr>
          <w:b/>
          <w:bCs/>
        </w:rPr>
      </w:pPr>
      <w:r>
        <w:rPr>
          <w:b/>
          <w:bCs/>
        </w:rPr>
      </w:r>
      <w:r>
        <w:rPr>
          <w:b/>
          <w:bCs/>
        </w:rPr>
      </w:r>
    </w:p>
    <w:p>
      <w:pPr>
        <w:pStyle w:val="893"/>
        <w:pBdr/>
        <w:spacing w:after="0"/>
        <w:ind/>
        <w:jc w:val="both"/>
        <w:rPr>
          <w:color w:val="000000"/>
          <w:spacing w:val="-2"/>
        </w:rPr>
      </w:pPr>
      <w:r/>
      <w:bookmarkStart w:id="63" w:name="_3.8._Médiation_avec"/>
      <w:r/>
      <w:bookmarkStart w:id="64" w:name="_Toc177566478"/>
      <w:r/>
      <w:bookmarkEnd w:id="63"/>
      <w:r>
        <w:rPr>
          <w:shd w:val="clear" w:color="auto" w:fill="ffffff"/>
        </w:rPr>
        <w:t xml:space="preserve">3.8. </w:t>
      </w:r>
      <w:r>
        <w:rPr>
          <w:color w:val="000000"/>
        </w:rPr>
        <w:t xml:space="preserve">Médiation avec le public scolaire à la cinémathèque </w:t>
      </w:r>
      <w:r>
        <w:rPr>
          <w:color w:val="000000"/>
          <w:spacing w:val="-2"/>
        </w:rPr>
        <w:t xml:space="preserve">municipale</w:t>
      </w:r>
      <w:bookmarkEnd w:id="64"/>
      <w:r/>
      <w:r>
        <w:rPr>
          <w:color w:val="000000"/>
          <w:spacing w:val="-2"/>
        </w:rPr>
      </w:r>
    </w:p>
    <w:p>
      <w:pPr>
        <w:pBdr/>
        <w:spacing/>
        <w:ind/>
        <w:jc w:val="both"/>
        <w:rPr>
          <w:b/>
          <w:bCs/>
        </w:rPr>
      </w:pPr>
      <w:r>
        <w:rPr>
          <w:b/>
          <w:bCs/>
        </w:rPr>
        <w:t xml:space="preserve">par</w:t>
      </w:r>
      <w:r>
        <w:rPr>
          <w:b/>
          <w:bCs/>
        </w:rPr>
        <w:t xml:space="preserve"> Isabelle CARLAT et </w:t>
      </w:r>
      <w:r>
        <w:rPr>
          <w:b/>
          <w:bCs/>
        </w:rPr>
        <w:t xml:space="preserve">Antoine RAVAT</w:t>
      </w:r>
      <w:r>
        <w:rPr>
          <w:b/>
          <w:bCs/>
        </w:rPr>
      </w:r>
    </w:p>
    <w:p>
      <w:pPr>
        <w:pStyle w:val="1084"/>
        <w:numPr>
          <w:ilvl w:val="0"/>
          <w:numId w:val="33"/>
        </w:numPr>
        <w:pBdr>
          <w:top w:val="none" w:color="000000" w:sz="4" w:space="0"/>
          <w:left w:val="none" w:color="000000" w:sz="4" w:space="0"/>
          <w:bottom w:val="none" w:color="000000" w:sz="4" w:space="0"/>
          <w:right w:val="none" w:color="000000" w:sz="4" w:space="0"/>
        </w:pBdr>
        <w:spacing w:after="0"/>
        <w:ind w:hanging="425" w:left="0"/>
        <w:jc w:val="both"/>
        <w:rPr>
          <w:b/>
          <w:bCs/>
          <w:i/>
          <w:color w:val="000000"/>
        </w:rPr>
      </w:pPr>
      <w:r>
        <w:rPr>
          <w:b/>
          <w:bCs/>
          <w:i/>
          <w:iCs/>
          <w:color w:val="000000"/>
        </w:rPr>
        <w:t xml:space="preserve">Le jeune public au cinéma ? Des Offices du cinéma éducateur aux dispositifs nationaux d'éducation à l'image...</w:t>
      </w:r>
      <w:r>
        <w:rPr>
          <w:b/>
          <w:bCs/>
          <w:i/>
          <w:color w:val="000000"/>
        </w:rPr>
      </w:r>
    </w:p>
    <w:p>
      <w:pPr>
        <w:pBdr>
          <w:top w:val="none" w:color="000000" w:sz="4" w:space="0"/>
          <w:left w:val="none" w:color="000000" w:sz="4" w:space="0"/>
          <w:bottom w:val="none" w:color="000000" w:sz="4" w:space="0"/>
          <w:right w:val="none" w:color="000000" w:sz="4" w:space="0"/>
        </w:pBdr>
        <w:spacing w:after="119"/>
        <w:ind/>
        <w:jc w:val="both"/>
        <w:rPr>
          <w:b/>
          <w:bCs/>
          <w:color w:val="000000"/>
        </w:rPr>
      </w:pPr>
      <w:r>
        <w:rPr>
          <w:b/>
          <w:bCs/>
          <w:color w:val="000000"/>
        </w:rPr>
        <w:t xml:space="preserve">par</w:t>
      </w:r>
      <w:r>
        <w:rPr>
          <w:b/>
          <w:bCs/>
          <w:color w:val="000000"/>
        </w:rPr>
        <w:t xml:space="preserve"> Antoine </w:t>
      </w:r>
      <w:r>
        <w:rPr>
          <w:b/>
          <w:bCs/>
          <w:color w:val="000000"/>
        </w:rPr>
        <w:t xml:space="preserve">Ravat</w:t>
      </w:r>
      <w:r>
        <w:rPr>
          <w:b/>
          <w:bCs/>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t xml:space="preserve">Un panorama de l'histoire du cinéma en France en direction du jeune public : des cinémathèques aux salles commerc</w:t>
      </w:r>
      <w:r>
        <w:rPr>
          <w:color w:val="000000"/>
        </w:rPr>
        <w:t xml:space="preserve">iales ; de l'enseignement par le cinéma à l'éducation à l'image...</w:t>
      </w:r>
      <w:r>
        <w:rPr>
          <w:color w:val="000000"/>
        </w:rPr>
      </w:r>
    </w:p>
    <w:p>
      <w:pPr>
        <w:pBdr>
          <w:top w:val="none" w:color="000000" w:sz="4" w:space="0"/>
          <w:left w:val="none" w:color="000000" w:sz="4" w:space="0"/>
          <w:bottom w:val="none" w:color="000000" w:sz="4" w:space="0"/>
          <w:right w:val="none" w:color="000000" w:sz="4" w:space="0"/>
        </w:pBdr>
        <w:spacing w:after="0"/>
        <w:ind/>
        <w:jc w:val="both"/>
        <w:rPr>
          <w:color w:val="000000"/>
          <w:sz w:val="16"/>
          <w:szCs w:val="16"/>
        </w:rPr>
      </w:pPr>
      <w:r>
        <w:rPr>
          <w:color w:val="000000"/>
          <w:sz w:val="16"/>
          <w:szCs w:val="16"/>
        </w:rPr>
      </w:r>
      <w:r>
        <w:rPr>
          <w:color w:val="000000"/>
          <w:sz w:val="16"/>
          <w:szCs w:val="16"/>
        </w:rPr>
      </w:r>
    </w:p>
    <w:p>
      <w:pPr>
        <w:pStyle w:val="1084"/>
        <w:numPr>
          <w:ilvl w:val="0"/>
          <w:numId w:val="23"/>
        </w:numPr>
        <w:pBdr>
          <w:top w:val="none" w:color="000000" w:sz="4" w:space="0"/>
          <w:left w:val="none" w:color="000000" w:sz="4" w:space="0"/>
          <w:bottom w:val="none" w:color="000000" w:sz="4" w:space="0"/>
          <w:right w:val="none" w:color="000000" w:sz="4" w:space="0"/>
        </w:pBdr>
        <w:spacing w:after="0"/>
        <w:ind w:hanging="425" w:left="0"/>
        <w:jc w:val="both"/>
        <w:rPr>
          <w:b/>
          <w:bCs/>
          <w:i/>
          <w:color w:val="000000"/>
        </w:rPr>
      </w:pPr>
      <w:r>
        <w:rPr>
          <w:b/>
          <w:bCs/>
          <w:i/>
          <w:iCs/>
          <w:color w:val="000000"/>
        </w:rPr>
        <w:t xml:space="preserve">Médiation cinéma avec le public scolaire</w:t>
      </w:r>
      <w:r>
        <w:rPr>
          <w:b/>
          <w:bCs/>
          <w:i/>
          <w:color w:val="000000"/>
        </w:rPr>
      </w:r>
    </w:p>
    <w:p>
      <w:pPr>
        <w:pBdr>
          <w:top w:val="none" w:color="000000" w:sz="4" w:space="0"/>
          <w:left w:val="none" w:color="000000" w:sz="4" w:space="0"/>
          <w:bottom w:val="none" w:color="000000" w:sz="4" w:space="0"/>
          <w:right w:val="none" w:color="000000" w:sz="4" w:space="0"/>
        </w:pBdr>
        <w:spacing w:after="119"/>
        <w:ind/>
        <w:jc w:val="both"/>
        <w:rPr>
          <w:b/>
          <w:bCs/>
          <w:color w:val="000000"/>
        </w:rPr>
      </w:pPr>
      <w:r>
        <w:rPr>
          <w:b/>
          <w:bCs/>
          <w:color w:val="000000"/>
        </w:rPr>
        <w:t xml:space="preserve">par</w:t>
      </w:r>
      <w:r>
        <w:rPr>
          <w:b/>
          <w:bCs/>
          <w:color w:val="000000"/>
        </w:rPr>
        <w:t xml:space="preserve"> Isabelle </w:t>
      </w:r>
      <w:r>
        <w:rPr>
          <w:b/>
          <w:bCs/>
          <w:color w:val="000000"/>
        </w:rPr>
        <w:t xml:space="preserve">Carlat</w:t>
      </w:r>
      <w:r>
        <w:rPr>
          <w:b/>
          <w:bCs/>
          <w:color w:val="000000"/>
        </w:rPr>
      </w:r>
    </w:p>
    <w:p>
      <w:pPr>
        <w:pBdr>
          <w:top w:val="none" w:color="000000" w:sz="4" w:space="0"/>
          <w:left w:val="none" w:color="000000" w:sz="4" w:space="0"/>
          <w:bottom w:val="none" w:color="000000" w:sz="4" w:space="0"/>
          <w:right w:val="none" w:color="000000" w:sz="4" w:space="0"/>
        </w:pBdr>
        <w:spacing/>
        <w:ind/>
        <w:jc w:val="both"/>
        <w:rPr>
          <w:color w:val="000000"/>
        </w:rPr>
      </w:pPr>
      <w:r>
        <w:rPr>
          <w:color w:val="000000"/>
        </w:rPr>
        <w:t xml:space="preserve">Les étudiants assisteront à deux séances destinées aux scolaires, à l’issue desquelles ils échangeront avec la médiatrice jeune public de la cinémathèque de Saint-Étienne. </w:t>
      </w:r>
      <w:r>
        <w:rPr>
          <w:color w:val="000000"/>
        </w:rPr>
      </w:r>
    </w:p>
    <w:p>
      <w:pPr>
        <w:pBdr>
          <w:top w:val="none" w:color="000000" w:sz="4" w:space="0"/>
          <w:left w:val="none" w:color="000000" w:sz="4" w:space="0"/>
          <w:bottom w:val="none" w:color="000000" w:sz="4" w:space="0"/>
          <w:right w:val="none" w:color="000000" w:sz="4" w:space="0"/>
        </w:pBdr>
        <w:spacing/>
        <w:ind/>
        <w:jc w:val="both"/>
        <w:rPr>
          <w:color w:val="000000"/>
        </w:rPr>
      </w:pPr>
      <w:r>
        <w:rPr>
          <w:color w:val="000000"/>
        </w:rPr>
      </w:r>
      <w:r>
        <w:rPr>
          <w:color w:val="000000"/>
        </w:rPr>
      </w:r>
    </w:p>
    <w:p>
      <w:pPr>
        <w:pStyle w:val="893"/>
        <w:pBdr/>
        <w:spacing w:after="0"/>
        <w:ind/>
        <w:jc w:val="both"/>
        <w:rPr/>
      </w:pPr>
      <w:r/>
      <w:bookmarkStart w:id="65" w:name="_3.9._Histoire_du"/>
      <w:r/>
      <w:bookmarkStart w:id="66" w:name="_Toc171952968"/>
      <w:r/>
      <w:bookmarkStart w:id="67" w:name="_Toc177566479"/>
      <w:r/>
      <w:bookmarkEnd w:id="65"/>
      <w:r>
        <w:t xml:space="preserve">3.9. Histoire du théâtre d’enfance et de jeunesse</w:t>
      </w:r>
      <w:bookmarkEnd w:id="66"/>
      <w:r/>
      <w:bookmarkEnd w:id="67"/>
      <w:r/>
      <w:r/>
    </w:p>
    <w:p>
      <w:pPr>
        <w:pBdr/>
        <w:spacing/>
        <w:ind/>
        <w:jc w:val="both"/>
        <w:rPr>
          <w:b/>
          <w:bCs/>
          <w:strike/>
        </w:rPr>
      </w:pPr>
      <w:r>
        <w:rPr>
          <w:b/>
          <w:bCs/>
        </w:rPr>
        <w:t xml:space="preserve">par</w:t>
      </w:r>
      <w:r>
        <w:rPr>
          <w:b/>
          <w:bCs/>
        </w:rPr>
        <w:t xml:space="preserve"> Marine WIESNIEWSKI </w:t>
      </w:r>
      <w:r>
        <w:rPr>
          <w:b/>
          <w:bCs/>
          <w:strike/>
        </w:rPr>
      </w:r>
    </w:p>
    <w:p>
      <w:pPr>
        <w:pBdr>
          <w:top w:val="none" w:color="000000" w:sz="4" w:space="0"/>
          <w:left w:val="none" w:color="000000" w:sz="4" w:space="0"/>
          <w:bottom w:val="none" w:color="000000" w:sz="4" w:space="0"/>
          <w:right w:val="none" w:color="000000" w:sz="4" w:space="0"/>
        </w:pBdr>
        <w:spacing/>
        <w:ind/>
        <w:jc w:val="both"/>
        <w:rPr>
          <w:color w:val="000000"/>
        </w:rPr>
      </w:pPr>
      <w:r>
        <w:rPr>
          <w:color w:val="000000"/>
        </w:rPr>
      </w:r>
      <w:r>
        <w:rPr>
          <w:color w:val="000000"/>
        </w:rPr>
      </w:r>
    </w:p>
    <w:p>
      <w:pPr>
        <w:pStyle w:val="893"/>
        <w:pBdr/>
        <w:spacing w:after="0"/>
        <w:ind/>
        <w:rPr/>
      </w:pPr>
      <w:r/>
      <w:bookmarkStart w:id="68" w:name="_3.10.__Théâtre"/>
      <w:r/>
      <w:bookmarkStart w:id="69" w:name="_Toc177566480"/>
      <w:r/>
      <w:bookmarkEnd w:id="68"/>
      <w:r>
        <w:t xml:space="preserve">3.10.  Théâtre jeune public</w:t>
      </w:r>
      <w:bookmarkEnd w:id="69"/>
      <w:r/>
      <w:r/>
    </w:p>
    <w:p>
      <w:pPr>
        <w:pStyle w:val="1084"/>
        <w:pBdr/>
        <w:spacing w:after="119"/>
        <w:ind w:left="0"/>
        <w:rPr>
          <w:rStyle w:val="1093"/>
          <w:rFonts w:ascii="Barlow" w:hAnsi="Barlow"/>
          <w:b/>
          <w:bCs/>
        </w:rPr>
      </w:pPr>
      <w:r>
        <w:rPr>
          <w:rStyle w:val="1093"/>
          <w:rFonts w:ascii="Barlow" w:hAnsi="Barlow"/>
          <w:b/>
        </w:rPr>
        <w:t xml:space="preserve">par</w:t>
      </w:r>
      <w:r>
        <w:rPr>
          <w:rStyle w:val="1093"/>
          <w:rFonts w:ascii="Barlow" w:hAnsi="Barlow"/>
          <w:b/>
        </w:rPr>
        <w:t xml:space="preserve"> Catherine AILLOUD-NICOLAS</w:t>
      </w:r>
      <w:r>
        <w:rPr>
          <w:rStyle w:val="1093"/>
          <w:rFonts w:ascii="Barlow" w:hAnsi="Barlow"/>
          <w:b/>
          <w:bCs/>
        </w:rPr>
      </w:r>
    </w:p>
    <w:p>
      <w:pPr>
        <w:pStyle w:val="1084"/>
        <w:pBdr/>
        <w:spacing w:after="0" w:line="240" w:lineRule="auto"/>
        <w:ind w:left="0"/>
        <w:rPr>
          <w:u w:val="single"/>
          <w:lang w:eastAsia="fr-FR"/>
        </w:rPr>
      </w:pPr>
      <w:r>
        <w:rPr>
          <w:u w:val="single"/>
          <w:lang w:eastAsia="fr-FR"/>
        </w:rPr>
      </w:r>
      <w:r>
        <w:rPr>
          <w:u w:val="single"/>
          <w:lang w:eastAsia="fr-FR"/>
        </w:rPr>
      </w:r>
    </w:p>
    <w:p>
      <w:pPr>
        <w:pStyle w:val="1084"/>
        <w:pBdr/>
        <w:spacing w:after="0" w:line="240" w:lineRule="auto"/>
        <w:ind w:left="0"/>
        <w:rPr>
          <w:u w:val="single"/>
        </w:rPr>
      </w:pPr>
      <w:r>
        <w:rPr>
          <w:u w:val="single"/>
        </w:rPr>
      </w:r>
      <w:r>
        <w:rPr>
          <w:u w:val="single"/>
        </w:rPr>
      </w:r>
    </w:p>
    <w:p>
      <w:pPr>
        <w:pStyle w:val="893"/>
        <w:pBdr/>
        <w:spacing w:after="0"/>
        <w:ind/>
        <w:jc w:val="both"/>
        <w:rPr/>
      </w:pPr>
      <w:r/>
      <w:bookmarkStart w:id="70" w:name="_3.11._Formation_«"/>
      <w:r/>
      <w:bookmarkStart w:id="71" w:name="_Toc177566481"/>
      <w:r/>
      <w:bookmarkEnd w:id="70"/>
      <w:r>
        <w:t xml:space="preserve">3.11. Formation « Passeurs et passeuses d’art » à la Comédie</w:t>
      </w:r>
      <w:bookmarkEnd w:id="71"/>
      <w:r/>
      <w:r/>
    </w:p>
    <w:p>
      <w:pPr>
        <w:pBdr/>
        <w:spacing/>
        <w:ind/>
        <w:jc w:val="both"/>
        <w:rPr>
          <w:b/>
          <w:bCs/>
          <w:color w:val="000000" w:themeColor="text1"/>
        </w:rPr>
      </w:pPr>
      <w:r>
        <w:rPr>
          <w:b/>
        </w:rPr>
        <w:t xml:space="preserve">par</w:t>
      </w:r>
      <w:r>
        <w:rPr>
          <w:b/>
        </w:rPr>
        <w:t xml:space="preserve"> Lorine VANEL et l’équipe de la Comédie de Saint-Étienne</w:t>
      </w:r>
      <w:r>
        <w:rPr>
          <w:b/>
          <w:bCs/>
          <w:color w:val="000000" w:themeColor="text1"/>
        </w:rP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r>
      <w:r>
        <w:rPr>
          <w:color w:val="000000"/>
        </w:rPr>
      </w:r>
    </w:p>
    <w:p>
      <w:pPr>
        <w:pBdr/>
        <w:spacing w:after="160"/>
        <w:ind/>
        <w:rPr>
          <w:color w:val="000000"/>
        </w:rPr>
      </w:pPr>
      <w:r/>
      <w:bookmarkStart w:id="72" w:name="_GoBack"/>
      <w:r/>
      <w:bookmarkEnd w:id="72"/>
      <w:r>
        <mc:AlternateContent>
          <mc:Choice Requires="wpg">
            <w:drawing>
              <wp:inline xmlns:wp="http://schemas.openxmlformats.org/drawingml/2006/wordprocessingDrawing" distT="0" distB="0" distL="0" distR="0">
                <wp:extent cx="5850255" cy="5990012"/>
                <wp:effectExtent l="0" t="0" r="0" b="0"/>
                <wp:docPr id="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3"/>
                        <a:stretch/>
                      </pic:blipFill>
                      <pic:spPr bwMode="auto">
                        <a:xfrm>
                          <a:off x="0" y="0"/>
                          <a:ext cx="5850255" cy="5990012"/>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60.65pt;height:471.65pt;mso-wrap-distance-left:0.00pt;mso-wrap-distance-top:0.00pt;mso-wrap-distance-right:0.00pt;mso-wrap-distance-bottom:0.00pt;z-index:1;" stroked="f">
                <v:imagedata r:id="rId23" o:title=""/>
                <o:lock v:ext="edit" rotation="t"/>
              </v:shape>
            </w:pict>
          </mc:Fallback>
        </mc:AlternateContent>
      </w:r>
      <w:r>
        <w:rPr>
          <w:color w:val="000000"/>
        </w:rPr>
      </w:r>
    </w:p>
    <w:p>
      <w:pPr>
        <w:pBdr/>
        <w:spacing w:after="160"/>
        <w:ind/>
        <w:rPr>
          <w:color w:val="000000"/>
        </w:rPr>
      </w:pPr>
      <w:r>
        <w:rPr>
          <w:color w:val="000000"/>
        </w:rPr>
      </w:r>
      <w:r>
        <w:rPr>
          <w:color w:val="000000"/>
        </w:rPr>
      </w:r>
    </w:p>
    <w:p>
      <w:pPr>
        <w:pBdr/>
        <w:spacing w:after="160"/>
        <w:ind/>
        <w:rPr>
          <w:color w:val="000000"/>
        </w:rPr>
      </w:pPr>
      <w:r>
        <w:rPr>
          <w:color w:val="000000"/>
        </w:rPr>
      </w:r>
      <w:r>
        <w:rPr>
          <w:color w:val="000000"/>
        </w:rPr>
      </w:r>
    </w:p>
    <w:p>
      <w:pPr>
        <w:pStyle w:val="893"/>
        <w:pBdr/>
        <w:spacing w:after="0"/>
        <w:ind/>
        <w:jc w:val="both"/>
        <w:rPr/>
      </w:pPr>
      <w:r/>
      <w:bookmarkStart w:id="73" w:name="_3.12.__Spectacle"/>
      <w:r/>
      <w:bookmarkStart w:id="74" w:name="_Toc177566482"/>
      <w:r/>
      <w:bookmarkEnd w:id="73"/>
      <w:r>
        <w:t xml:space="preserve">3.12.</w:t>
      </w:r>
      <w:r>
        <w:rPr>
          <w:i/>
        </w:rPr>
        <w:t xml:space="preserve">  </w:t>
      </w:r>
      <w:r>
        <w:t xml:space="preserve">Spectacle jeune public à la Comédie de Saint-Étienne</w:t>
      </w:r>
      <w:bookmarkEnd w:id="74"/>
      <w:r/>
      <w:r/>
    </w:p>
    <w:p>
      <w:pPr>
        <w:pBdr/>
        <w:spacing/>
        <w:ind/>
        <w:jc w:val="both"/>
        <w:rPr>
          <w:i/>
        </w:rPr>
      </w:pPr>
      <w:r>
        <w:rPr>
          <w:b/>
          <w:bCs/>
        </w:rPr>
        <w:t xml:space="preserve">Échanges sur la mise en scène et l’accueil du jeune public, participation au bord de scène</w:t>
      </w:r>
      <w:r>
        <w:rPr>
          <w:i/>
        </w:rPr>
      </w:r>
    </w:p>
    <w:p>
      <w:pPr>
        <w:pStyle w:val="1084"/>
        <w:pBdr/>
        <w:spacing w:after="0"/>
        <w:ind w:left="0"/>
        <w:jc w:val="both"/>
        <w:rPr>
          <w:rStyle w:val="1093"/>
          <w:rFonts w:ascii="Barlow" w:hAnsi="Barlow"/>
        </w:rPr>
      </w:pPr>
      <w:r>
        <w:rPr>
          <w:color w:val="000000"/>
        </w:rPr>
        <w:t xml:space="preserve">Spectacle </w:t>
      </w:r>
      <w:r>
        <w:rPr>
          <w:i/>
          <w:iCs/>
          <w:color w:val="000000"/>
        </w:rPr>
        <w:t xml:space="preserve">Quand j’étais petite, je voterai…</w:t>
      </w:r>
      <w:r>
        <w:rPr>
          <w:color w:val="000000"/>
        </w:rPr>
        <w:t xml:space="preserve">, adaptation du roman jeune de Boris Le Roy, mise en scène Émilie </w:t>
      </w:r>
      <w:r>
        <w:rPr>
          <w:color w:val="000000"/>
        </w:rPr>
        <w:t xml:space="preserve">Cap</w:t>
      </w:r>
      <w:r>
        <w:rPr>
          <w:color w:val="000000"/>
        </w:rPr>
        <w:t xml:space="preserve">liez</w:t>
      </w:r>
      <w:r>
        <w:rPr>
          <w:rStyle w:val="1093"/>
          <w:rFonts w:ascii="Barlow" w:hAnsi="Barlow"/>
        </w:rPr>
        <w:t xml:space="preserve">.</w:t>
      </w:r>
      <w:r>
        <w:rPr>
          <w:rStyle w:val="1093"/>
          <w:rFonts w:ascii="Barlow" w:hAnsi="Barlow"/>
        </w:rPr>
      </w:r>
    </w:p>
    <w:p>
      <w:pPr>
        <w:pStyle w:val="1084"/>
        <w:pBdr/>
        <w:spacing w:line="276" w:lineRule="auto"/>
        <w:ind w:left="0"/>
        <w:jc w:val="both"/>
        <w:rPr>
          <w:color w:val="000000"/>
        </w:rPr>
      </w:pPr>
      <w:r>
        <w:rPr>
          <w:color w:val="000000"/>
        </w:rPr>
        <w:t xml:space="preserve">Un professeur demande à sa classe d’élire </w:t>
      </w:r>
      <w:r>
        <w:rPr>
          <w:color w:val="000000"/>
        </w:rPr>
        <w:t xml:space="preserve">un.e</w:t>
      </w:r>
      <w:r>
        <w:rPr>
          <w:color w:val="000000"/>
        </w:rPr>
        <w:t xml:space="preserve"> </w:t>
      </w:r>
      <w:r>
        <w:rPr>
          <w:color w:val="000000"/>
        </w:rPr>
        <w:t xml:space="preserve">délégué.e</w:t>
      </w:r>
      <w:r>
        <w:rPr>
          <w:color w:val="000000"/>
        </w:rPr>
        <w:t xml:space="preserve">. Anar et Cachot se portent tous deux candidats et jouent la course à l’élection. À l’inverse, Lune, jeune fille brillante et militante, hésite à se présenter et nous entraîne dans une véritable</w:t>
      </w:r>
      <w:r>
        <w:rPr>
          <w:color w:val="000000"/>
        </w:rPr>
        <w:t xml:space="preserve"> réflexion sur les enjeux d’une telle décision… </w:t>
      </w:r>
      <w:r>
        <w:rPr>
          <w:color w:val="000000"/>
        </w:rPr>
        <w:br/>
        <w:t xml:space="preserve">Cette création jeune public, pleine d’humour et de tendresse, met en jeu un trio de personnages aux prises avec la démocratie et ses questions les plus entêtantes : comment décider collectivement ? Que signi</w:t>
      </w:r>
      <w:r>
        <w:rPr>
          <w:color w:val="000000"/>
        </w:rPr>
        <w:t xml:space="preserve">fie représenter le peuple ? Faut-il voter ou s’abstenir ?</w:t>
      </w:r>
      <w:r>
        <w:rPr>
          <w:color w:val="000000"/>
        </w:rPr>
      </w:r>
    </w:p>
    <w:p>
      <w:pPr>
        <w:pStyle w:val="1084"/>
        <w:pBdr/>
        <w:spacing w:line="276" w:lineRule="auto"/>
        <w:ind w:left="0"/>
        <w:jc w:val="both"/>
        <w:rPr>
          <w:u w:val="single"/>
        </w:rPr>
      </w:pPr>
      <w:r>
        <w:rPr>
          <w:u w:val="single"/>
        </w:rPr>
      </w:r>
      <w:r>
        <w:rPr>
          <w:u w:val="single"/>
        </w:rPr>
      </w:r>
    </w:p>
    <w:p>
      <w:pPr>
        <w:pStyle w:val="892"/>
        <w:pBdr/>
        <w:spacing/>
        <w:ind/>
        <w:rPr/>
      </w:pPr>
      <w:r/>
      <w:bookmarkStart w:id="75" w:name="_Toc177566483"/>
      <w:r>
        <w:rPr>
          <w:rFonts w:eastAsia="Barlow" w:cs="Barlow"/>
        </w:rPr>
        <w:t xml:space="preserve">B</w:t>
      </w:r>
      <w:r>
        <w:rPr>
          <w:rFonts w:eastAsia="Barlow" w:cs="Barlow"/>
        </w:rPr>
        <w:t xml:space="preserve">iographies des intervenant.es</w:t>
      </w:r>
      <w:bookmarkEnd w:id="75"/>
      <w:r/>
      <w:r/>
    </w:p>
    <w:p>
      <w:pPr>
        <w:pBdr/>
        <w:spacing/>
        <w:ind/>
        <w:rPr>
          <w:b/>
          <w:bCs/>
        </w:rPr>
      </w:pPr>
      <w:r>
        <w:rPr>
          <w:b/>
          <w:bCs/>
        </w:rPr>
      </w:r>
      <w:r>
        <w:rPr>
          <w:b/>
          <w:bCs/>
        </w:rPr>
      </w:r>
    </w:p>
    <w:p>
      <w:pPr>
        <w:pStyle w:val="1090"/>
        <w:pBdr/>
        <w:spacing w:after="0" w:afterAutospacing="0" w:before="0" w:beforeAutospacing="0" w:line="276" w:lineRule="auto"/>
        <w:ind/>
        <w:jc w:val="both"/>
        <w:rPr>
          <w:rFonts w:ascii="Barlow" w:hAnsi="Barlow"/>
          <w:sz w:val="22"/>
          <w:szCs w:val="22"/>
        </w:rPr>
      </w:pPr>
      <w:r>
        <w:rPr>
          <w:rFonts w:ascii="Barlow" w:hAnsi="Barlow"/>
          <w:sz w:val="22"/>
          <w:szCs w:val="22"/>
        </w:rPr>
        <w:t xml:space="preserve">Spécialiste de Marivaux et du théâtre du XVIII</w:t>
      </w:r>
      <w:r>
        <w:rPr>
          <w:color w:val="000000"/>
          <w:vertAlign w:val="superscript"/>
        </w:rPr>
        <w:t xml:space="preserve">e</w:t>
      </w:r>
      <w:r>
        <w:rPr>
          <w:rFonts w:ascii="Barlow" w:hAnsi="Barlow"/>
          <w:sz w:val="22"/>
          <w:szCs w:val="22"/>
        </w:rPr>
        <w:t xml:space="preserve"> siècle, </w:t>
      </w:r>
      <w:r>
        <w:rPr>
          <w:rFonts w:ascii="Barlow" w:hAnsi="Barlow"/>
          <w:b/>
          <w:bCs/>
          <w:sz w:val="22"/>
          <w:szCs w:val="22"/>
        </w:rPr>
        <w:t xml:space="preserve">Catherine </w:t>
      </w:r>
      <w:r>
        <w:rPr>
          <w:rFonts w:ascii="Barlow" w:hAnsi="Barlow"/>
          <w:b/>
          <w:bCs/>
          <w:sz w:val="22"/>
          <w:szCs w:val="22"/>
        </w:rPr>
        <w:t xml:space="preserve">Ailloud</w:t>
      </w:r>
      <w:r>
        <w:rPr>
          <w:rFonts w:ascii="Barlow" w:hAnsi="Barlow"/>
          <w:b/>
          <w:bCs/>
          <w:sz w:val="22"/>
          <w:szCs w:val="22"/>
        </w:rPr>
        <w:t xml:space="preserve">-Nicolas</w:t>
      </w:r>
      <w:r>
        <w:rPr>
          <w:rFonts w:ascii="Barlow" w:hAnsi="Barlow"/>
          <w:sz w:val="22"/>
          <w:szCs w:val="22"/>
        </w:rPr>
        <w:t xml:space="preserve"> est universitaire, membre du laboratoire de recherche IHRIM de Lyon (Institut d’</w:t>
      </w:r>
      <w:r>
        <w:rPr>
          <w:rFonts w:ascii="Barlow" w:hAnsi="Barlow"/>
          <w:sz w:val="22"/>
          <w:szCs w:val="22"/>
        </w:rPr>
        <w:t xml:space="preserve">Histoire des Représentations et des Idées dans les Modernités). En tant que dramaturge, elle a travaillé pour divers spectacles de théâtre avec Éric Massé, Hervé </w:t>
      </w:r>
      <w:r>
        <w:rPr>
          <w:rFonts w:ascii="Barlow" w:hAnsi="Barlow"/>
          <w:sz w:val="22"/>
          <w:szCs w:val="22"/>
        </w:rPr>
        <w:t xml:space="preserve">Dartiguelongue</w:t>
      </w:r>
      <w:r>
        <w:rPr>
          <w:rFonts w:ascii="Barlow" w:hAnsi="Barlow"/>
          <w:sz w:val="22"/>
          <w:szCs w:val="22"/>
        </w:rPr>
        <w:t xml:space="preserve">, </w:t>
      </w:r>
      <w:r>
        <w:rPr>
          <w:rFonts w:ascii="Barlow" w:hAnsi="Barlow"/>
          <w:sz w:val="22"/>
          <w:szCs w:val="22"/>
        </w:rPr>
        <w:t xml:space="preserve">Johanny</w:t>
      </w:r>
      <w:r>
        <w:rPr>
          <w:rFonts w:ascii="Barlow" w:hAnsi="Barlow"/>
          <w:sz w:val="22"/>
          <w:szCs w:val="22"/>
        </w:rPr>
        <w:t xml:space="preserve"> Bert et Laurent </w:t>
      </w:r>
      <w:r>
        <w:rPr>
          <w:rFonts w:ascii="Barlow" w:hAnsi="Barlow"/>
          <w:sz w:val="22"/>
          <w:szCs w:val="22"/>
        </w:rPr>
        <w:t xml:space="preserve">Brethome</w:t>
      </w:r>
      <w:r>
        <w:rPr>
          <w:rFonts w:ascii="Barlow" w:hAnsi="Barlow"/>
          <w:sz w:val="22"/>
          <w:szCs w:val="22"/>
        </w:rPr>
        <w:t xml:space="preserve">, ainsi qu’avec Frédéric </w:t>
      </w:r>
      <w:r>
        <w:rPr>
          <w:rFonts w:ascii="Barlow" w:hAnsi="Barlow"/>
          <w:sz w:val="22"/>
          <w:szCs w:val="22"/>
        </w:rPr>
        <w:t xml:space="preserve">Cellé</w:t>
      </w:r>
      <w:r>
        <w:rPr>
          <w:rFonts w:ascii="Barlow" w:hAnsi="Barlow"/>
          <w:sz w:val="22"/>
          <w:szCs w:val="22"/>
        </w:rPr>
        <w:t xml:space="preserve"> pour des specta</w:t>
      </w:r>
      <w:r>
        <w:rPr>
          <w:rFonts w:ascii="Barlow" w:hAnsi="Barlow"/>
          <w:sz w:val="22"/>
          <w:szCs w:val="22"/>
        </w:rPr>
        <w:t xml:space="preserve">cles de danse.</w:t>
      </w:r>
      <w:r>
        <w:rPr>
          <w:rFonts w:ascii="Barlow" w:hAnsi="Barlow"/>
          <w:sz w:val="22"/>
          <w:szCs w:val="22"/>
        </w:rPr>
      </w:r>
    </w:p>
    <w:p>
      <w:pPr>
        <w:pStyle w:val="1090"/>
        <w:pBdr/>
        <w:spacing w:after="0" w:afterAutospacing="0" w:before="0" w:beforeAutospacing="0" w:line="276" w:lineRule="auto"/>
        <w:ind/>
        <w:jc w:val="both"/>
        <w:rPr>
          <w:rFonts w:ascii="Barlow" w:hAnsi="Barlow"/>
          <w:sz w:val="22"/>
          <w:szCs w:val="22"/>
        </w:rPr>
      </w:pPr>
      <w:r>
        <w:rPr>
          <w:rFonts w:ascii="Barlow" w:hAnsi="Barlow"/>
          <w:sz w:val="22"/>
          <w:szCs w:val="22"/>
        </w:rPr>
        <w:t xml:space="preserve">Elle accompagne Richard Brunel pour de nombreux projets théâtraux et opératiques et a fait partie de son collectif artistique lorsqu’il dirigeait le Centre dramatique national Drôme Ardèche de Valence. Parmi les spectacles de théâtre les plu</w:t>
      </w:r>
      <w:r>
        <w:rPr>
          <w:rFonts w:ascii="Barlow" w:hAnsi="Barlow"/>
          <w:sz w:val="22"/>
          <w:szCs w:val="22"/>
        </w:rPr>
        <w:t xml:space="preserve">s récents témoignant de cette collaboration, on peut noter </w:t>
      </w:r>
      <w:r>
        <w:rPr>
          <w:rFonts w:ascii="Barlow" w:hAnsi="Barlow"/>
          <w:i/>
          <w:iCs/>
          <w:sz w:val="22"/>
          <w:szCs w:val="22"/>
        </w:rPr>
        <w:t xml:space="preserve">Certaines n’avaient jamais vu la me</w:t>
      </w:r>
      <w:r>
        <w:rPr>
          <w:rFonts w:ascii="Barlow" w:hAnsi="Barlow"/>
          <w:sz w:val="22"/>
          <w:szCs w:val="22"/>
        </w:rPr>
        <w:t xml:space="preserve">r (Julie </w:t>
      </w:r>
      <w:r>
        <w:rPr>
          <w:rFonts w:ascii="Barlow" w:hAnsi="Barlow"/>
          <w:sz w:val="22"/>
          <w:szCs w:val="22"/>
        </w:rPr>
        <w:t xml:space="preserve">Otsuka</w:t>
      </w:r>
      <w:r>
        <w:rPr>
          <w:rFonts w:ascii="Barlow" w:hAnsi="Barlow"/>
          <w:sz w:val="22"/>
          <w:szCs w:val="22"/>
        </w:rPr>
        <w:t xml:space="preserve">) au Festival d’Avignon en 2018 et </w:t>
      </w:r>
      <w:r>
        <w:rPr>
          <w:rFonts w:ascii="Barlow" w:hAnsi="Barlow"/>
          <w:i/>
          <w:iCs/>
          <w:sz w:val="22"/>
          <w:szCs w:val="22"/>
        </w:rPr>
        <w:t xml:space="preserve">Otages </w:t>
      </w:r>
      <w:r>
        <w:rPr>
          <w:rFonts w:ascii="Barlow" w:hAnsi="Barlow"/>
          <w:sz w:val="22"/>
          <w:szCs w:val="22"/>
        </w:rPr>
        <w:t xml:space="preserve">(d’après le texte de théâtre Nina </w:t>
      </w:r>
      <w:r>
        <w:rPr>
          <w:rFonts w:ascii="Barlow" w:hAnsi="Barlow"/>
          <w:sz w:val="22"/>
          <w:szCs w:val="22"/>
        </w:rPr>
        <w:t xml:space="preserve">Bouraoui</w:t>
      </w:r>
      <w:r>
        <w:rPr>
          <w:rFonts w:ascii="Barlow" w:hAnsi="Barlow"/>
          <w:sz w:val="22"/>
          <w:szCs w:val="22"/>
        </w:rPr>
        <w:t xml:space="preserve">) en 2019. </w:t>
      </w:r>
      <w:r>
        <w:rPr>
          <w:rFonts w:ascii="Barlow" w:hAnsi="Barlow"/>
          <w:sz w:val="22"/>
          <w:szCs w:val="22"/>
        </w:rPr>
      </w:r>
    </w:p>
    <w:p>
      <w:pPr>
        <w:pStyle w:val="1090"/>
        <w:pBdr/>
        <w:spacing w:after="0" w:afterAutospacing="0" w:before="0" w:beforeAutospacing="0" w:line="276" w:lineRule="auto"/>
        <w:ind/>
        <w:jc w:val="both"/>
        <w:rPr>
          <w:rFonts w:ascii="Barlow" w:hAnsi="Barlow"/>
          <w:sz w:val="22"/>
          <w:szCs w:val="22"/>
        </w:rPr>
      </w:pPr>
      <w:r>
        <w:rPr>
          <w:rFonts w:ascii="Barlow" w:hAnsi="Barlow"/>
          <w:sz w:val="22"/>
          <w:szCs w:val="22"/>
        </w:rPr>
        <w:t xml:space="preserve">À l’Opéra de Lyon, Richard Brunel a confié à Cather</w:t>
      </w:r>
      <w:r>
        <w:rPr>
          <w:rFonts w:ascii="Barlow" w:hAnsi="Barlow"/>
          <w:sz w:val="22"/>
          <w:szCs w:val="22"/>
        </w:rPr>
        <w:t xml:space="preserve">ine </w:t>
      </w:r>
      <w:r>
        <w:rPr>
          <w:rFonts w:ascii="Barlow" w:hAnsi="Barlow"/>
          <w:sz w:val="22"/>
          <w:szCs w:val="22"/>
        </w:rPr>
        <w:t xml:space="preserve">Ailloud</w:t>
      </w:r>
      <w:r>
        <w:rPr>
          <w:rFonts w:ascii="Barlow" w:hAnsi="Barlow"/>
          <w:sz w:val="22"/>
          <w:szCs w:val="22"/>
        </w:rPr>
        <w:t xml:space="preserve">-Nicolas le travail dramaturgique de plusieurs productions : </w:t>
      </w:r>
      <w:r>
        <w:rPr>
          <w:rFonts w:ascii="Barlow" w:hAnsi="Barlow"/>
          <w:i/>
          <w:iCs/>
          <w:sz w:val="22"/>
          <w:szCs w:val="22"/>
        </w:rPr>
        <w:t xml:space="preserve">Dans la colonie pénitentiaire</w:t>
      </w:r>
      <w:r>
        <w:rPr>
          <w:rFonts w:ascii="Barlow" w:hAnsi="Barlow"/>
          <w:sz w:val="22"/>
          <w:szCs w:val="22"/>
        </w:rPr>
        <w:t xml:space="preserve"> (Glass) en 2010, </w:t>
      </w:r>
      <w:r>
        <w:rPr>
          <w:rFonts w:ascii="Barlow" w:hAnsi="Barlow"/>
          <w:i/>
          <w:iCs/>
          <w:sz w:val="22"/>
          <w:szCs w:val="22"/>
        </w:rPr>
        <w:t xml:space="preserve">L’Empereur d’Atlantis </w:t>
      </w:r>
      <w:r>
        <w:rPr>
          <w:rFonts w:ascii="Barlow" w:hAnsi="Barlow"/>
          <w:sz w:val="22"/>
          <w:szCs w:val="22"/>
        </w:rPr>
        <w:t xml:space="preserve">(Ullmann) en 2013, </w:t>
      </w:r>
      <w:r>
        <w:rPr>
          <w:rFonts w:ascii="Barlow" w:hAnsi="Barlow"/>
          <w:i/>
          <w:iCs/>
          <w:sz w:val="22"/>
          <w:szCs w:val="22"/>
        </w:rPr>
        <w:t xml:space="preserve">Le Cercle de craie</w:t>
      </w:r>
      <w:r>
        <w:rPr>
          <w:rFonts w:ascii="Barlow" w:hAnsi="Barlow"/>
          <w:sz w:val="22"/>
          <w:szCs w:val="22"/>
        </w:rPr>
        <w:t xml:space="preserve"> (Zemlinsky) en 2018, </w:t>
      </w:r>
      <w:r>
        <w:rPr>
          <w:rFonts w:ascii="Barlow" w:hAnsi="Barlow"/>
          <w:i/>
          <w:iCs/>
          <w:sz w:val="22"/>
          <w:szCs w:val="22"/>
        </w:rPr>
        <w:t xml:space="preserve">Zylan</w:t>
      </w:r>
      <w:r>
        <w:rPr>
          <w:rFonts w:ascii="Barlow" w:hAnsi="Barlow"/>
          <w:i/>
          <w:iCs/>
          <w:sz w:val="22"/>
          <w:szCs w:val="22"/>
        </w:rPr>
        <w:t xml:space="preserve"> ne chantera plus</w:t>
      </w:r>
      <w:r>
        <w:rPr>
          <w:rFonts w:ascii="Barlow" w:hAnsi="Barlow"/>
          <w:sz w:val="22"/>
          <w:szCs w:val="22"/>
        </w:rPr>
        <w:t xml:space="preserve"> de Diana </w:t>
      </w:r>
      <w:r>
        <w:rPr>
          <w:rFonts w:ascii="Barlow" w:hAnsi="Barlow"/>
          <w:sz w:val="22"/>
          <w:szCs w:val="22"/>
        </w:rPr>
        <w:t xml:space="preserve">Soh</w:t>
      </w:r>
      <w:r>
        <w:rPr>
          <w:rFonts w:ascii="Barlow" w:hAnsi="Barlow"/>
          <w:sz w:val="22"/>
          <w:szCs w:val="22"/>
        </w:rPr>
        <w:t xml:space="preserve"> en 2021, </w:t>
      </w:r>
      <w:r>
        <w:rPr>
          <w:rFonts w:ascii="Barlow" w:hAnsi="Barlow"/>
          <w:i/>
          <w:iCs/>
          <w:sz w:val="22"/>
          <w:szCs w:val="22"/>
        </w:rPr>
        <w:t xml:space="preserve">Shirine</w:t>
      </w:r>
      <w:r>
        <w:rPr>
          <w:rFonts w:ascii="Barlow" w:hAnsi="Barlow"/>
          <w:i/>
          <w:iCs/>
          <w:sz w:val="22"/>
          <w:szCs w:val="22"/>
        </w:rPr>
        <w:t xml:space="preserve"> </w:t>
      </w:r>
      <w:r>
        <w:rPr>
          <w:rFonts w:ascii="Barlow" w:hAnsi="Barlow"/>
          <w:sz w:val="22"/>
          <w:szCs w:val="22"/>
        </w:rPr>
        <w:t xml:space="preserve">de </w:t>
      </w:r>
      <w:r>
        <w:rPr>
          <w:rFonts w:ascii="Barlow" w:hAnsi="Barlow"/>
          <w:sz w:val="22"/>
          <w:szCs w:val="22"/>
        </w:rPr>
        <w:t xml:space="preserve">Thierry </w:t>
      </w:r>
      <w:r>
        <w:rPr>
          <w:rFonts w:ascii="Barlow" w:hAnsi="Barlow"/>
          <w:sz w:val="22"/>
          <w:szCs w:val="22"/>
        </w:rPr>
        <w:t xml:space="preserve">Escaich</w:t>
      </w:r>
      <w:r>
        <w:rPr>
          <w:rFonts w:ascii="Barlow" w:hAnsi="Barlow"/>
          <w:sz w:val="22"/>
          <w:szCs w:val="22"/>
        </w:rPr>
        <w:t xml:space="preserve"> en 2022, </w:t>
      </w:r>
      <w:r>
        <w:rPr>
          <w:rFonts w:ascii="Barlow" w:hAnsi="Barlow"/>
          <w:i/>
          <w:iCs/>
          <w:sz w:val="22"/>
          <w:szCs w:val="22"/>
        </w:rPr>
        <w:t xml:space="preserve">Mélisande </w:t>
      </w:r>
      <w:r>
        <w:rPr>
          <w:rFonts w:ascii="Barlow" w:hAnsi="Barlow"/>
          <w:sz w:val="22"/>
          <w:szCs w:val="22"/>
        </w:rPr>
        <w:t xml:space="preserve">d’après Debussy en 2023, </w:t>
      </w:r>
      <w:r>
        <w:rPr>
          <w:rFonts w:ascii="Barlow" w:hAnsi="Barlow"/>
          <w:i/>
          <w:iCs/>
          <w:sz w:val="22"/>
          <w:szCs w:val="22"/>
        </w:rPr>
        <w:t xml:space="preserve">Otages</w:t>
      </w:r>
      <w:r>
        <w:rPr>
          <w:rFonts w:ascii="Barlow" w:hAnsi="Barlow"/>
          <w:sz w:val="22"/>
          <w:szCs w:val="22"/>
        </w:rPr>
        <w:t xml:space="preserve">, d’après un texte de théâtre de Nina </w:t>
      </w:r>
      <w:r>
        <w:rPr>
          <w:rFonts w:ascii="Barlow" w:hAnsi="Barlow"/>
          <w:sz w:val="22"/>
          <w:szCs w:val="22"/>
        </w:rPr>
        <w:t xml:space="preserve">Bouraoui</w:t>
      </w:r>
      <w:r>
        <w:rPr>
          <w:rFonts w:ascii="Barlow" w:hAnsi="Barlow"/>
          <w:sz w:val="22"/>
          <w:szCs w:val="22"/>
        </w:rPr>
        <w:t xml:space="preserve">, sur une composition de Sebastian Rivas, en 2024 et enfin, </w:t>
      </w:r>
      <w:r>
        <w:rPr>
          <w:rFonts w:ascii="Barlow" w:hAnsi="Barlow"/>
          <w:i/>
          <w:iCs/>
          <w:sz w:val="22"/>
          <w:szCs w:val="22"/>
        </w:rPr>
        <w:t xml:space="preserve">L’Affaire </w:t>
      </w:r>
      <w:r>
        <w:rPr>
          <w:rFonts w:ascii="Barlow" w:hAnsi="Barlow"/>
          <w:i/>
          <w:iCs/>
          <w:sz w:val="22"/>
          <w:szCs w:val="22"/>
        </w:rPr>
        <w:t xml:space="preserve">Makropoulos</w:t>
      </w:r>
      <w:r>
        <w:rPr>
          <w:rFonts w:ascii="Barlow" w:hAnsi="Barlow"/>
          <w:sz w:val="22"/>
          <w:szCs w:val="22"/>
        </w:rPr>
        <w:t xml:space="preserve"> (</w:t>
      </w:r>
      <w:r>
        <w:rPr>
          <w:rFonts w:ascii="Barlow" w:hAnsi="Barlow"/>
          <w:sz w:val="22"/>
          <w:szCs w:val="22"/>
        </w:rPr>
        <w:t xml:space="preserve">Janáček</w:t>
      </w:r>
      <w:r>
        <w:rPr>
          <w:rFonts w:ascii="Barlow" w:hAnsi="Barlow"/>
          <w:sz w:val="22"/>
          <w:szCs w:val="22"/>
        </w:rPr>
        <w:t xml:space="preserve">) à la fin de la saison 2023-2024.</w:t>
      </w:r>
      <w:r>
        <w:rPr>
          <w:rFonts w:ascii="Barlow" w:hAnsi="Barlow"/>
          <w:sz w:val="22"/>
          <w:szCs w:val="22"/>
        </w:rPr>
      </w:r>
    </w:p>
    <w:p>
      <w:pPr>
        <w:pStyle w:val="1090"/>
        <w:pBdr/>
        <w:spacing w:after="0" w:afterAutospacing="0" w:before="0" w:beforeAutospacing="0" w:line="276" w:lineRule="auto"/>
        <w:ind/>
        <w:jc w:val="both"/>
        <w:rPr>
          <w:rFonts w:ascii="Barlow" w:hAnsi="Barlow"/>
          <w:sz w:val="20"/>
          <w:szCs w:val="20"/>
        </w:rPr>
      </w:pPr>
      <w:r>
        <w:rPr>
          <w:rFonts w:ascii="Barlow" w:hAnsi="Barlow"/>
          <w:sz w:val="20"/>
          <w:szCs w:val="20"/>
        </w:rPr>
        <w:t xml:space="preserve">Source : </w:t>
      </w:r>
      <w:hyperlink r:id="rId24" w:tooltip="https://www.opera-lyon.com/fr/artistes/catherine-ailloud-nicolas" w:history="1">
        <w:r>
          <w:rPr>
            <w:rStyle w:val="1085"/>
            <w:rFonts w:ascii="Barlow" w:hAnsi="Barlow"/>
            <w:sz w:val="20"/>
            <w:szCs w:val="20"/>
          </w:rPr>
          <w:t xml:space="preserve">https ://www.opera-lyon.com/fr/artistes/catherine-ailloud-nicolas</w:t>
        </w:r>
      </w:hyperlink>
      <w:r>
        <w:rPr>
          <w:rFonts w:ascii="Barlow" w:hAnsi="Barlow"/>
          <w:sz w:val="20"/>
          <w:szCs w:val="20"/>
        </w:rPr>
        <w:t xml:space="preserve"> </w:t>
      </w:r>
      <w:r>
        <w:rPr>
          <w:rFonts w:ascii="Barlow" w:hAnsi="Barlow"/>
          <w:sz w:val="20"/>
          <w:szCs w:val="20"/>
        </w:rPr>
      </w:r>
    </w:p>
    <w:p>
      <w:pPr>
        <w:pBdr/>
        <w:spacing w:after="0"/>
        <w:ind/>
        <w:jc w:val="both"/>
        <w:rPr>
          <w:bCs/>
        </w:rPr>
      </w:pPr>
      <w:r>
        <w:rPr>
          <w:bCs/>
        </w:rPr>
      </w:r>
      <w:r>
        <w:rPr>
          <w:bCs/>
        </w:rPr>
      </w:r>
    </w:p>
    <w:p>
      <w:pPr>
        <w:pBdr/>
        <w:spacing w:after="0"/>
        <w:ind/>
        <w:jc w:val="both"/>
        <w:rPr>
          <w:bCs/>
        </w:rPr>
      </w:pPr>
      <w:r>
        <w:rPr>
          <w:bCs/>
        </w:rPr>
        <w:t xml:space="preserve">Compositrice et musicologue diplômée d’un Maste</w:t>
      </w:r>
      <w:r>
        <w:rPr>
          <w:bCs/>
        </w:rPr>
        <w:t xml:space="preserve">r à Paris IV-Sorbonne, et des conservatoires de la Ville de Paris en piano, musique de chambre et écriture, </w:t>
      </w:r>
      <w:r>
        <w:rPr>
          <w:b/>
          <w:bCs/>
        </w:rPr>
        <w:t xml:space="preserve">Géraldine </w:t>
      </w:r>
      <w:r>
        <w:rPr>
          <w:b/>
          <w:bCs/>
        </w:rPr>
        <w:t xml:space="preserve">Aliberti</w:t>
      </w:r>
      <w:r>
        <w:rPr>
          <w:b/>
          <w:bCs/>
        </w:rPr>
        <w:t xml:space="preserve"> </w:t>
      </w:r>
      <w:r>
        <w:rPr>
          <w:bCs/>
        </w:rPr>
        <w:t xml:space="preserve">transmet la musique à travers des formes innovantes de spectacles, de concerts éducatifs et interactifs, ou dans le domaine du nu</w:t>
      </w:r>
      <w:r>
        <w:rPr>
          <w:bCs/>
        </w:rPr>
        <w:t xml:space="preserve">mérique. Elle travaille en 2005 pour Mezzo-tv, puis intègre en 2006 la Cité de la Musique, puis assure la direction artistique des Jeunesses musicales de France en 2012. Elle est compositrice associée aux Éditions Gallimard-Musique pour la collection Écout</w:t>
      </w:r>
      <w:r>
        <w:rPr>
          <w:bCs/>
        </w:rPr>
        <w:t xml:space="preserve">ez-Lire, et a créé de 2011 à 2014 neuf spectacles intitulés « Les laboratoires musicaux » pour l’Auditorium du Louvre, avec la compagnie Les Clés de l’écoute. </w:t>
      </w:r>
      <w:r>
        <w:rPr>
          <w:bCs/>
        </w:rPr>
      </w:r>
    </w:p>
    <w:p>
      <w:pPr>
        <w:pBdr/>
        <w:spacing w:after="0"/>
        <w:ind/>
        <w:jc w:val="both"/>
        <w:rPr>
          <w:i/>
          <w:iCs/>
        </w:rPr>
      </w:pPr>
      <w:r>
        <w:rPr>
          <w:bCs/>
        </w:rPr>
        <w:t xml:space="preserve">Elle a créé en 2014 la société Sonic Solveig, éditeur numérique de jeux musicaux. Convaincue que la pédagogie est un art, son travail tente de changer les codes de l’écoute de la musique. Elle est la directrice artistique de la Compagnie VIVANT</w:t>
      </w:r>
      <w:r>
        <w:rPr>
          <w:bCs/>
        </w:rPr>
        <w:t xml:space="preserve"> !e</w:t>
      </w:r>
      <w:r>
        <w:rPr>
          <w:bCs/>
        </w:rPr>
        <w:t xml:space="preserve">, qu’elle</w:t>
      </w:r>
      <w:r>
        <w:rPr>
          <w:bCs/>
        </w:rPr>
        <w:t xml:space="preserve"> a fondée.</w:t>
      </w:r>
      <w:r>
        <w:rPr>
          <w:i/>
          <w:iCs/>
        </w:rPr>
      </w:r>
    </w:p>
    <w:p>
      <w:pPr>
        <w:pBdr/>
        <w:spacing w:after="0"/>
        <w:ind/>
        <w:jc w:val="both"/>
        <w:rPr/>
      </w:pPr>
      <w:r/>
      <w:r/>
    </w:p>
    <w:p>
      <w:pPr>
        <w:pBdr/>
        <w:spacing w:after="0"/>
        <w:ind/>
        <w:jc w:val="both"/>
        <w:rPr/>
      </w:pPr>
      <w:r>
        <w:rPr>
          <w:bCs/>
        </w:rPr>
        <w:t xml:space="preserve">Musicien, pédagogue et auteur de plusieurs ouvrages, </w:t>
      </w:r>
      <w:r>
        <w:rPr>
          <w:b/>
          <w:bCs/>
        </w:rPr>
        <w:t xml:space="preserve">Gérard </w:t>
      </w:r>
      <w:r>
        <w:rPr>
          <w:b/>
          <w:bCs/>
        </w:rPr>
        <w:t xml:space="preserve">Authelain</w:t>
      </w:r>
      <w:r>
        <w:rPr>
          <w:b/>
          <w:bCs/>
        </w:rPr>
        <w:t xml:space="preserve"> </w:t>
      </w:r>
      <w:r>
        <w:rPr>
          <w:bCs/>
        </w:rPr>
        <w:t xml:space="preserve">a exercé le métier de musicien intervenant à l’école avant de devenir, de 1984 à 2002, directeur du Centre de formation des musiciens intervenants (CFMI) de Lyon (Université </w:t>
      </w:r>
      <w:r>
        <w:rPr>
          <w:bCs/>
        </w:rPr>
        <w:t xml:space="preserve">Lumière-Lyon 2). Auteur d’une thèse en musicologie sur </w:t>
      </w:r>
      <w:r>
        <w:rPr>
          <w:bCs/>
          <w:i/>
          <w:iCs/>
        </w:rPr>
        <w:t xml:space="preserve">Les Mythes et les Images archétypales dans la chanson</w:t>
      </w:r>
      <w:r>
        <w:rPr>
          <w:bCs/>
        </w:rPr>
        <w:t xml:space="preserve">, il a fondé le répertoire </w:t>
      </w:r>
      <w:r>
        <w:rPr>
          <w:bCs/>
        </w:rPr>
        <w:t xml:space="preserve">Mômeludies</w:t>
      </w:r>
      <w:r>
        <w:rPr>
          <w:bCs/>
        </w:rPr>
        <w:t xml:space="preserve"> en 1985 et a été rédacteur des Enfants de la Zique de 1995 à 2014. Il anime régulièrement, en France et à l’ét</w:t>
      </w:r>
      <w:r>
        <w:rPr>
          <w:bCs/>
        </w:rPr>
        <w:t xml:space="preserve">ranger, sur les démarches de création et sur les pratiques vocales, des stages et ateliers où la chanson tient une place importante.</w:t>
      </w:r>
      <w:r/>
    </w:p>
    <w:p>
      <w:pPr>
        <w:pBdr/>
        <w:spacing/>
        <w:ind/>
        <w:jc w:val="both"/>
        <w:rPr>
          <w:sz w:val="20"/>
          <w:szCs w:val="20"/>
        </w:rPr>
      </w:pPr>
      <w:r/>
      <w:hyperlink r:id="rId25" w:tooltip="https://www.larumeurlibre.fr/auteurs/authelain_gerard" w:history="1">
        <w:r>
          <w:rPr>
            <w:rStyle w:val="1085"/>
            <w:bCs/>
            <w:color w:val="000000" w:themeColor="text1"/>
            <w:sz w:val="20"/>
            <w:szCs w:val="20"/>
            <w:u w:val="none"/>
          </w:rPr>
          <w:t xml:space="preserve">Source :</w:t>
        </w:r>
        <w:r>
          <w:rPr>
            <w:rStyle w:val="1085"/>
            <w:bCs/>
            <w:sz w:val="20"/>
            <w:szCs w:val="20"/>
            <w:u w:val="none"/>
          </w:rPr>
          <w:t xml:space="preserve"> </w:t>
        </w:r>
        <w:r>
          <w:rPr>
            <w:rStyle w:val="1085"/>
            <w:bCs/>
            <w:sz w:val="20"/>
            <w:szCs w:val="20"/>
          </w:rPr>
          <w:t xml:space="preserve">https ://www.larumeurlibre.fr/auteurs/authelain_gerard</w:t>
        </w:r>
      </w:hyperlink>
      <w:r>
        <w:rPr>
          <w:bCs/>
          <w:sz w:val="20"/>
          <w:szCs w:val="20"/>
        </w:rPr>
        <w:t xml:space="preserve"> </w:t>
      </w:r>
      <w:r>
        <w:rPr>
          <w:sz w:val="20"/>
          <w:szCs w:val="20"/>
        </w:rPr>
      </w:r>
    </w:p>
    <w:p>
      <w:pPr>
        <w:pBdr/>
        <w:spacing w:after="0"/>
        <w:ind/>
        <w:jc w:val="both"/>
        <w:rPr>
          <w:b/>
          <w:bCs/>
        </w:rPr>
      </w:pPr>
      <w:r>
        <w:rPr>
          <w:b/>
          <w:bCs/>
        </w:rPr>
      </w:r>
      <w:r>
        <w:rPr>
          <w:b/>
          <w:bCs/>
        </w:rPr>
      </w:r>
    </w:p>
    <w:p>
      <w:pPr>
        <w:pBdr/>
        <w:spacing w:after="0"/>
        <w:ind/>
        <w:jc w:val="both"/>
        <w:rPr>
          <w:bCs/>
        </w:rPr>
      </w:pPr>
      <w:r>
        <w:rPr>
          <w:bCs/>
        </w:rPr>
        <w:t xml:space="preserve">Après avoir étudié le violoncelle avec Paul </w:t>
      </w:r>
      <w:r>
        <w:rPr>
          <w:bCs/>
        </w:rPr>
        <w:t xml:space="preserve">Boufil</w:t>
      </w:r>
      <w:r>
        <w:rPr>
          <w:bCs/>
        </w:rPr>
        <w:t xml:space="preserve">,</w:t>
      </w:r>
      <w:r>
        <w:rPr>
          <w:b/>
          <w:bCs/>
        </w:rPr>
        <w:t xml:space="preserve"> Emmanuel Bardon </w:t>
      </w:r>
      <w:r>
        <w:rPr>
          <w:bCs/>
        </w:rPr>
        <w:t xml:space="preserve">se consacre au chant, obtenant en 1995 un diplôme supérieur de chant après une formation avec Gaël de </w:t>
      </w:r>
      <w:r>
        <w:rPr>
          <w:bCs/>
        </w:rPr>
        <w:t xml:space="preserve">Kerret</w:t>
      </w:r>
      <w:r>
        <w:rPr>
          <w:bCs/>
        </w:rPr>
        <w:t xml:space="preserve"> et à la</w:t>
      </w:r>
      <w:r>
        <w:rPr>
          <w:bCs/>
        </w:rPr>
        <w:t xml:space="preserve"> Maîtrise du Centre de Musique Baroque de Versailles. Il se perfectionne auprès de nombreux maîtres tels que Mireille Deguy, Montserrat Figueras et Jordi </w:t>
      </w:r>
      <w:r>
        <w:rPr>
          <w:bCs/>
        </w:rPr>
        <w:t xml:space="preserve">Savall</w:t>
      </w:r>
      <w:r>
        <w:rPr>
          <w:bCs/>
        </w:rPr>
        <w:t xml:space="preserve">. Bardon participe à des ensembles prestigieux comme le Concert Spirituel et La Capella </w:t>
      </w:r>
      <w:r>
        <w:rPr>
          <w:bCs/>
        </w:rPr>
        <w:t xml:space="preserve">Reial</w:t>
      </w:r>
      <w:r>
        <w:rPr>
          <w:bCs/>
        </w:rPr>
        <w:t xml:space="preserve"> de</w:t>
      </w:r>
      <w:r>
        <w:rPr>
          <w:bCs/>
        </w:rPr>
        <w:t xml:space="preserve"> </w:t>
      </w:r>
      <w:r>
        <w:rPr>
          <w:bCs/>
        </w:rPr>
        <w:t xml:space="preserve">Catalunya</w:t>
      </w:r>
      <w:r>
        <w:rPr>
          <w:bCs/>
        </w:rPr>
        <w:t xml:space="preserve">.</w:t>
      </w:r>
      <w:r>
        <w:rPr>
          <w:bCs/>
        </w:rPr>
      </w:r>
    </w:p>
    <w:p>
      <w:pPr>
        <w:pBdr/>
        <w:spacing w:after="0"/>
        <w:ind/>
        <w:jc w:val="both"/>
        <w:rPr/>
      </w:pPr>
      <w:r>
        <w:rPr>
          <w:bCs/>
        </w:rPr>
        <w:t xml:space="preserve">En 1996, il fonde </w:t>
      </w:r>
      <w:r>
        <w:rPr>
          <w:bCs/>
        </w:rPr>
        <w:t xml:space="preserve">Canticum</w:t>
      </w:r>
      <w:r>
        <w:rPr>
          <w:bCs/>
        </w:rPr>
        <w:t xml:space="preserve"> </w:t>
      </w:r>
      <w:r>
        <w:rPr>
          <w:bCs/>
        </w:rPr>
        <w:t xml:space="preserve">Novum</w:t>
      </w:r>
      <w:r>
        <w:rPr>
          <w:bCs/>
        </w:rPr>
        <w:t xml:space="preserve">, ensemble en résidence à l’Opéra-Théâtre de Saint-Étienne, se produisant en France et à l’étranger. Depuis 1999, il dirige le festival Musique à </w:t>
      </w:r>
      <w:r>
        <w:rPr>
          <w:bCs/>
        </w:rPr>
        <w:t xml:space="preserve">Fontmorigny</w:t>
      </w:r>
      <w:r>
        <w:rPr>
          <w:bCs/>
        </w:rPr>
        <w:t xml:space="preserve"> et fonde en 2013 l’École de l’Oralité, </w:t>
      </w:r>
      <w:r>
        <w:t xml:space="preserve">structure de cr</w:t>
      </w:r>
      <w:r>
        <w:t xml:space="preserve">éation et de médiation culturelle, basée à Saint-Étienne.</w:t>
      </w:r>
      <w:r/>
    </w:p>
    <w:p>
      <w:pPr>
        <w:pBdr/>
        <w:spacing w:after="0"/>
        <w:ind/>
        <w:jc w:val="both"/>
        <w:rPr>
          <w:sz w:val="20"/>
          <w:szCs w:val="20"/>
        </w:rPr>
      </w:pPr>
      <w:r>
        <w:rPr>
          <w:bCs/>
          <w:sz w:val="20"/>
          <w:szCs w:val="20"/>
        </w:rPr>
        <w:t xml:space="preserve">Source : </w:t>
      </w:r>
      <w:hyperlink r:id="rId26" w:tooltip="https://www.canticumnovum.fr/lequipe-artistique/emmanuel-bardon-direction-musicale-et-chant/" w:history="1">
        <w:r>
          <w:rPr>
            <w:rStyle w:val="1085"/>
            <w:bCs/>
            <w:sz w:val="20"/>
            <w:szCs w:val="20"/>
          </w:rPr>
          <w:t xml:space="preserve">https ://www.canticumnovum.fr/lequipe-artistique/emmanuel-bardon-direction-musicale-et-chant/</w:t>
        </w:r>
      </w:hyperlink>
      <w:r/>
      <w:r>
        <w:rPr>
          <w:sz w:val="20"/>
          <w:szCs w:val="20"/>
        </w:rPr>
      </w:r>
    </w:p>
    <w:p>
      <w:pPr>
        <w:pBdr/>
        <w:spacing w:after="0"/>
        <w:ind/>
        <w:jc w:val="both"/>
        <w:rPr/>
      </w:pPr>
      <w:r/>
      <w:r/>
    </w:p>
    <w:p>
      <w:pPr>
        <w:pBdr/>
        <w:spacing/>
        <w:ind/>
        <w:jc w:val="both"/>
        <w:rPr>
          <w:bCs/>
        </w:rPr>
      </w:pPr>
      <w:r>
        <w:rPr>
          <w:b/>
          <w:bCs/>
        </w:rPr>
        <w:t xml:space="preserve">Isabelle </w:t>
      </w:r>
      <w:r>
        <w:rPr>
          <w:b/>
          <w:bCs/>
        </w:rPr>
        <w:t xml:space="preserve">Carlat</w:t>
      </w:r>
      <w:r>
        <w:t xml:space="preserve"> </w:t>
      </w:r>
      <w:r>
        <w:rPr>
          <w:bCs/>
        </w:rPr>
        <w:t xml:space="preserve">est diplômée d’une maîtrise en Arts plastiques de l’université de Saint-Étienne et en Cinéma et audiovisuel à Lyon. À la Cinéma</w:t>
      </w:r>
      <w:r>
        <w:rPr>
          <w:bCs/>
        </w:rPr>
        <w:t xml:space="preserve">thèque de Saint-Étienne, elle établit une programmation publique et scolaire, accompagnée de médiation, principalement destinée aux enfants de moins de 10 ans. Elle possède une bonne connaissance du domaine du court-métrage et de l’histoire du cinéma d’ani</w:t>
      </w:r>
      <w:r>
        <w:rPr>
          <w:bCs/>
        </w:rPr>
        <w:t xml:space="preserve">mation.</w:t>
      </w:r>
      <w:r>
        <w:rPr>
          <w:bCs/>
        </w:rPr>
      </w:r>
    </w:p>
    <w:p>
      <w:pPr>
        <w:pBdr>
          <w:top w:val="none" w:color="000000" w:sz="4" w:space="0"/>
          <w:left w:val="none" w:color="000000" w:sz="4" w:space="0"/>
          <w:bottom w:val="none" w:color="000000" w:sz="4" w:space="0"/>
          <w:right w:val="none" w:color="000000" w:sz="4" w:space="0"/>
        </w:pBdr>
        <w:spacing w:after="0"/>
        <w:ind/>
        <w:jc w:val="both"/>
        <w:rPr/>
      </w:pPr>
      <w:r/>
      <w:r/>
    </w:p>
    <w:p>
      <w:pPr>
        <w:pBdr>
          <w:top w:val="none" w:color="000000" w:sz="4" w:space="0"/>
          <w:left w:val="none" w:color="000000" w:sz="4" w:space="0"/>
          <w:bottom w:val="none" w:color="000000" w:sz="4" w:space="0"/>
          <w:right w:val="none" w:color="000000" w:sz="4" w:space="0"/>
        </w:pBdr>
        <w:spacing/>
        <w:ind/>
        <w:jc w:val="both"/>
        <w:rPr>
          <w:color w:val="000000"/>
        </w:rPr>
      </w:pPr>
      <w:r>
        <w:rPr>
          <w:b/>
          <w:bCs/>
          <w:color w:val="000000"/>
        </w:rPr>
        <w:t xml:space="preserve">Joris </w:t>
      </w:r>
      <w:r>
        <w:rPr>
          <w:b/>
          <w:bCs/>
          <w:color w:val="000000"/>
        </w:rPr>
        <w:t xml:space="preserve">Cintéro</w:t>
      </w:r>
      <w:r>
        <w:rPr>
          <w:color w:val="000000"/>
        </w:rPr>
        <w:t xml:space="preserve"> est docteur en sciences de l’éducation [Université Lumière Lyon 2]. Il est act</w:t>
      </w:r>
      <w:r>
        <w:rPr>
          <w:color w:val="000000"/>
        </w:rPr>
        <w:t xml:space="preserve">uellement professeur de sciences de l’éducation au Conservatoire National Supérieur Musique et Danse de Lyon et chercheur associé au laboratoire Éducation, Cultures, Politiques. Ses travaux portent sur les processus de construction et de mise en œuvre de l</w:t>
      </w:r>
      <w:r>
        <w:rPr>
          <w:color w:val="000000"/>
        </w:rPr>
        <w:t xml:space="preserve">’action publique territorialisée ainsi qu’à leurs effets sur le travail des enseignants dans les secteurs culturel et scolaire.</w:t>
      </w:r>
      <w:r>
        <w:rPr>
          <w:color w:val="000000"/>
        </w:rPr>
      </w:r>
    </w:p>
    <w:p>
      <w:pPr>
        <w:pBdr>
          <w:top w:val="none" w:color="000000" w:sz="4" w:space="0"/>
          <w:left w:val="none" w:color="000000" w:sz="4" w:space="0"/>
          <w:bottom w:val="none" w:color="000000" w:sz="4" w:space="0"/>
          <w:right w:val="none" w:color="000000" w:sz="4" w:space="0"/>
        </w:pBdr>
        <w:spacing/>
        <w:ind/>
        <w:jc w:val="both"/>
        <w:rPr>
          <w:color w:val="000000"/>
        </w:rPr>
      </w:pPr>
      <w:r>
        <w:rPr>
          <w:color w:val="000000"/>
        </w:rPr>
      </w:r>
      <w:r>
        <w:rPr>
          <w:color w:val="000000"/>
        </w:rPr>
      </w:r>
    </w:p>
    <w:p>
      <w:pPr>
        <w:pBdr>
          <w:top w:val="none" w:color="000000" w:sz="4" w:space="0"/>
          <w:left w:val="none" w:color="000000" w:sz="4" w:space="0"/>
          <w:bottom w:val="none" w:color="000000" w:sz="4" w:space="0"/>
          <w:right w:val="none" w:color="000000" w:sz="4" w:space="0"/>
        </w:pBdr>
        <w:spacing/>
        <w:ind/>
        <w:jc w:val="both"/>
        <w:rPr>
          <w:b/>
          <w:color w:val="000000"/>
        </w:rPr>
      </w:pPr>
      <w:r>
        <w:rPr>
          <w:color w:val="000000"/>
        </w:rPr>
        <w:t xml:space="preserve">La </w:t>
      </w:r>
      <w:hyperlink r:id="rId27" w:tooltip="https://www.citedudesign.com/" w:history="1">
        <w:r>
          <w:rPr>
            <w:rStyle w:val="1085"/>
            <w:b/>
            <w:bCs/>
          </w:rPr>
          <w:t xml:space="preserve">Cité du design</w:t>
        </w:r>
      </w:hyperlink>
      <w:r>
        <w:rPr>
          <w:color w:val="000000"/>
        </w:rPr>
        <w:t xml:space="preserve"> est </w:t>
      </w:r>
      <w:r>
        <w:rPr>
          <w:bCs/>
          <w:color w:val="000000"/>
        </w:rPr>
        <w:t xml:space="preserve">au c</w:t>
      </w:r>
      <w:r>
        <w:rPr>
          <w:bCs/>
          <w:color w:val="000000"/>
        </w:rPr>
        <w:t xml:space="preserve">œur du quartier créatif de la Manufacture </w:t>
      </w:r>
      <w:r>
        <w:rPr>
          <w:color w:val="000000"/>
        </w:rPr>
        <w:t xml:space="preserve">à Saint-Etienne. C’est une plateforme d'enseignement supérieur, de recherche, de développement économique et de valorisation autour du design et de l'art créée en 2010. Elle a pour vocation de</w:t>
      </w:r>
      <w:r>
        <w:rPr>
          <w:bCs/>
          <w:color w:val="000000"/>
        </w:rPr>
        <w:t xml:space="preserve"> faire du design un outil d'innovation, d'anticipation et de prospective, au service des acteurs institutionnels et économiques.</w:t>
      </w:r>
      <w:r>
        <w:rPr>
          <w:color w:val="000000"/>
        </w:rPr>
        <w:t xml:space="preserve"> À l'aide des acteurs concernés, elle </w:t>
      </w:r>
      <w:r>
        <w:rPr>
          <w:bCs/>
          <w:color w:val="000000"/>
        </w:rPr>
        <w:t xml:space="preserve">soutient le développement de toutes les formes de créativité par le design</w:t>
      </w:r>
      <w:r>
        <w:rPr>
          <w:color w:val="000000"/>
        </w:rPr>
        <w:t xml:space="preserve">, génère puis di</w:t>
      </w:r>
      <w:r>
        <w:rPr>
          <w:color w:val="000000"/>
        </w:rPr>
        <w:t xml:space="preserve">ffuse l'information et la promotion du design et des professionnels du domaine. Elle s'affirme en tant que levier de développement économique au niveau du territoire et au-delà. En prise avec les modes de vie et leur évolution, la Cité du design vise égale</w:t>
      </w:r>
      <w:r>
        <w:rPr>
          <w:color w:val="000000"/>
        </w:rPr>
        <w:t xml:space="preserve">ment à valoriser le design en tant que moyen de promouvoir l'innovation, particulièrement dans le domaine social et environnemental. Elle utilise</w:t>
      </w:r>
      <w:r>
        <w:rPr>
          <w:bCs/>
          <w:color w:val="000000"/>
        </w:rPr>
        <w:t xml:space="preserve"> le design comme outil de recherche, de création et de modélisation</w:t>
      </w:r>
      <w:r>
        <w:rPr>
          <w:color w:val="000000"/>
        </w:rPr>
        <w:t xml:space="preserve"> au profit des acteurs publics et économique</w:t>
      </w:r>
      <w:r>
        <w:rPr>
          <w:color w:val="000000"/>
        </w:rPr>
        <w:t xml:space="preserve">s. </w:t>
      </w:r>
      <w:r>
        <w:rPr>
          <w:b/>
          <w:color w:val="000000"/>
        </w:rPr>
      </w:r>
    </w:p>
    <w:p>
      <w:pPr>
        <w:pBdr>
          <w:top w:val="none" w:color="000000" w:sz="4" w:space="0"/>
          <w:left w:val="none" w:color="000000" w:sz="4" w:space="0"/>
          <w:bottom w:val="none" w:color="000000" w:sz="4" w:space="0"/>
          <w:right w:val="none" w:color="000000" w:sz="4" w:space="0"/>
        </w:pBdr>
        <w:spacing/>
        <w:ind/>
        <w:jc w:val="both"/>
        <w:rPr/>
      </w:pPr>
      <w:r/>
      <w:r/>
    </w:p>
    <w:p>
      <w:pPr>
        <w:pBdr>
          <w:top w:val="none" w:color="000000" w:sz="4" w:space="0"/>
          <w:left w:val="none" w:color="000000" w:sz="4" w:space="0"/>
          <w:bottom w:val="none" w:color="000000" w:sz="4" w:space="0"/>
          <w:right w:val="none" w:color="000000" w:sz="4" w:space="0"/>
        </w:pBdr>
        <w:spacing/>
        <w:ind/>
        <w:jc w:val="both"/>
        <w:rPr>
          <w:color w:val="000000"/>
        </w:rPr>
      </w:pPr>
      <w:r>
        <w:rPr>
          <w:b/>
          <w:bCs/>
          <w:color w:val="000000" w:themeColor="text1"/>
        </w:rPr>
        <w:t xml:space="preserve">La Comédie </w:t>
      </w:r>
      <w:r>
        <w:rPr>
          <w:b/>
          <w:color w:val="000000"/>
        </w:rPr>
        <w:t xml:space="preserve">de Saint-Étienne, </w:t>
      </w:r>
      <w:hyperlink r:id="rId28" w:tooltip="https://www.lacomedie.fr/" w:history="1">
        <w:r>
          <w:rPr>
            <w:rStyle w:val="1085"/>
            <w:b/>
          </w:rPr>
          <w:t xml:space="preserve">Centre dramatique national</w:t>
        </w:r>
      </w:hyperlink>
      <w:r>
        <w:rPr>
          <w:color w:val="000000"/>
        </w:rPr>
        <w:t xml:space="preserve">, est une institution théâtrale entièrement animée par l’énergie de la création. Elle produit des spectacles de renommée na</w:t>
      </w:r>
      <w:r>
        <w:rPr>
          <w:color w:val="000000"/>
        </w:rPr>
        <w:t xml:space="preserve">tionale et internationale. Créée par Jean Dasté il y a 70 ans, La Comédie fut pionnière de la décentralisation dramatique française. Elle est dirigée depuis mars 2021 par Benoît Lambert.  De septembre à juin, elle propose une programmation très variée avec</w:t>
      </w:r>
      <w:r>
        <w:rPr>
          <w:color w:val="000000"/>
        </w:rPr>
        <w:t xml:space="preserve"> des pièces du répertoire classique, des textes plus contemporains, mais aussi de la danse et du cirque. Ce sont plus de 30 spectacles différents qui sont programmés chaque saison ; 6 à 7 d’entre eux sont directement accessibles aux enfants et aux familles</w:t>
      </w:r>
      <w:r>
        <w:rPr>
          <w:color w:val="000000"/>
        </w:rPr>
        <w:t xml:space="preserve">. Si La Comédie de Saint-Étienne ambitionne d’être un lieu de création artistique, elle se veut également être un lieu de développement culturel qui envisage la rencontre avec le théâtre comme un outil fondamental au service de tous les publics. Elle consi</w:t>
      </w:r>
      <w:r>
        <w:rPr>
          <w:color w:val="000000"/>
        </w:rPr>
        <w:t xml:space="preserve">dère que le théâtre doit donner à chacune et chacun l’occasion de rencontrer les œuvres et </w:t>
      </w:r>
      <w:r>
        <w:rPr>
          <w:color w:val="000000"/>
        </w:rPr>
        <w:t xml:space="preserve">les artistes, d’accéder aux dispositifs de transmission et de partage de l’art, de participer à la vie culturelle, de développer et d’exprimer sa propre créativité.</w:t>
      </w:r>
      <w:r>
        <w:rPr>
          <w:color w:val="000000"/>
        </w:rPr>
      </w:r>
    </w:p>
    <w:p>
      <w:pPr>
        <w:pBdr>
          <w:top w:val="none" w:color="000000" w:sz="4" w:space="0"/>
          <w:left w:val="none" w:color="000000" w:sz="4" w:space="0"/>
          <w:bottom w:val="none" w:color="000000" w:sz="4" w:space="0"/>
          <w:right w:val="none" w:color="000000" w:sz="4" w:space="0"/>
        </w:pBdr>
        <w:tabs>
          <w:tab w:val="left" w:leader="none" w:pos="9724"/>
        </w:tabs>
        <w:spacing w:after="0"/>
        <w:ind w:right="567"/>
        <w:jc w:val="both"/>
        <w:rPr/>
      </w:pPr>
      <w:r>
        <w:rPr>
          <w:b/>
          <w:color w:val="000000"/>
        </w:rPr>
      </w:r>
      <w:r/>
      <w:r>
        <w:rPr>
          <w:b/>
          <w:color w:val="000000"/>
        </w:rPr>
        <w:t xml:space="preserve"> </w:t>
      </w:r>
      <w:r/>
    </w:p>
    <w:p>
      <w:pPr>
        <w:pBdr>
          <w:top w:val="none" w:color="000000" w:sz="4" w:space="0"/>
          <w:left w:val="none" w:color="000000" w:sz="4" w:space="0"/>
          <w:bottom w:val="none" w:color="000000" w:sz="4" w:space="0"/>
          <w:right w:val="none" w:color="000000" w:sz="4" w:space="0"/>
        </w:pBdr>
        <w:spacing w:after="0"/>
        <w:ind/>
        <w:jc w:val="both"/>
        <w:rPr>
          <w:color w:val="000000"/>
        </w:rPr>
      </w:pPr>
      <w:r/>
      <w:r>
        <mc:AlternateContent>
          <mc:Choice Requires="wpg">
            <w:drawing>
              <wp:anchor xmlns:wp="http://schemas.openxmlformats.org/drawingml/2006/wordprocessingDrawing" xmlns:wp14="http://schemas.microsoft.com/office/word/2010/wordprocessingDrawing" distT="0" distB="0" distL="115200" distR="115200" simplePos="0" relativeHeight="251663360" behindDoc="0" locked="0" layoutInCell="1" allowOverlap="1">
                <wp:simplePos x="0" y="0"/>
                <wp:positionH relativeFrom="margin">
                  <wp:posOffset>-257175</wp:posOffset>
                </wp:positionH>
                <wp:positionV relativeFrom="paragraph">
                  <wp:posOffset>176720</wp:posOffset>
                </wp:positionV>
                <wp:extent cx="1365885" cy="1024255"/>
                <wp:effectExtent l="18415" t="635" r="5080" b="5080"/>
                <wp:wrapSquare wrapText="bothSides"/>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55643" name="Picture 7"/>
                        <pic:cNvPicPr>
                          <a:picLocks noChangeAspect="1"/>
                        </pic:cNvPicPr>
                        <pic:nvPr/>
                      </pic:nvPicPr>
                      <pic:blipFill>
                        <a:blip r:embed="rId29"/>
                        <a:stretch/>
                      </pic:blipFill>
                      <pic:spPr bwMode="auto">
                        <a:xfrm rot="5399943">
                          <a:off x="0" y="0"/>
                          <a:ext cx="1365883" cy="1024254"/>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51663360;o:allowoverlap:true;o:allowincell:true;mso-position-horizontal-relative:margin;margin-left:-20.25pt;mso-position-horizontal:absolute;mso-position-vertical-relative:text;margin-top:13.91pt;mso-position-vertical:absolute;width:107.55pt;height:80.65pt;mso-wrap-distance-left:9.07pt;mso-wrap-distance-top:0.00pt;mso-wrap-distance-right:9.07pt;mso-wrap-distance-bottom:0.00pt;rotation:89;z-index:1;" stroked="f">
                <w10:wrap type="square"/>
                <v:imagedata r:id="rId29" o:title=""/>
                <o:lock v:ext="edit" rotation="t"/>
              </v:shape>
            </w:pict>
          </mc:Fallback>
        </mc:AlternateContent>
      </w:r>
      <w:r/>
      <w:r>
        <w:rPr>
          <w:b/>
          <w:color w:val="000000"/>
        </w:rPr>
        <w:t xml:space="preserve">Jérôme </w:t>
      </w:r>
      <w:r>
        <w:rPr>
          <w:b/>
          <w:color w:val="000000"/>
        </w:rPr>
        <w:t xml:space="preserve">Dutel</w:t>
      </w:r>
      <w:r>
        <w:rPr>
          <w:b/>
          <w:color w:val="000000"/>
        </w:rPr>
        <w:t xml:space="preserve"> </w:t>
      </w:r>
      <w:r>
        <w:rPr>
          <w:color w:val="000000"/>
        </w:rPr>
        <w:t xml:space="preserve">est maître de conférences</w:t>
      </w:r>
      <w:r>
        <w:rPr>
          <w:b/>
          <w:color w:val="000000"/>
        </w:rPr>
        <w:t xml:space="preserve"> </w:t>
      </w:r>
      <w:r>
        <w:rPr>
          <w:color w:val="000000"/>
        </w:rPr>
        <w:t xml:space="preserve">en Littérature Générale &amp; Comparée, membre de l’unité de recherche ECLLA à l’université Jean Monnet de Saint-Étienne.</w:t>
      </w:r>
      <w:r>
        <w:rPr>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t xml:space="preserve">L’</w:t>
      </w:r>
      <w:r>
        <w:rPr>
          <w:color w:val="000000"/>
        </w:rPr>
        <w:t xml:space="preserve">intermédialité</w:t>
      </w:r>
      <w:r>
        <w:rPr>
          <w:color w:val="000000"/>
        </w:rPr>
        <w:t xml:space="preserve"> constitue son domaine d’expertise autour du visuel/textuel : littérature, bande</w:t>
      </w:r>
      <w:r>
        <w:rPr>
          <w:color w:val="000000"/>
        </w:rPr>
        <w:t xml:space="preserve"> dessinée, cinéma d’animation ; des marges et expérimentations ; et des domaines de l’imaginaire.</w:t>
      </w:r>
      <w:r>
        <w:rPr>
          <w:color w:val="000000"/>
        </w:rPr>
      </w:r>
    </w:p>
    <w:p>
      <w:pPr>
        <w:pBdr>
          <w:top w:val="none" w:color="000000" w:sz="4" w:space="0"/>
          <w:left w:val="none" w:color="000000" w:sz="4" w:space="0"/>
          <w:bottom w:val="none" w:color="000000" w:sz="4" w:space="0"/>
          <w:right w:val="none" w:color="000000" w:sz="4" w:space="0"/>
        </w:pBdr>
        <w:spacing w:after="0"/>
        <w:ind/>
        <w:jc w:val="both"/>
        <w:rPr/>
      </w:pPr>
      <w:r/>
      <w:r/>
    </w:p>
    <w:p>
      <w:pPr>
        <w:pBdr>
          <w:top w:val="none" w:color="000000" w:sz="4" w:space="0"/>
          <w:left w:val="none" w:color="000000" w:sz="4" w:space="0"/>
          <w:bottom w:val="none" w:color="000000" w:sz="4" w:space="0"/>
          <w:right w:val="none" w:color="000000" w:sz="4" w:space="0"/>
        </w:pBdr>
        <w:spacing/>
        <w:ind/>
        <w:jc w:val="both"/>
        <w:rPr>
          <w:b/>
          <w:color w:val="000000"/>
        </w:rPr>
      </w:pPr>
      <w:r>
        <w:rPr>
          <w:b/>
          <w:color w:val="000000"/>
        </w:rPr>
        <w:t xml:space="preserve"> </w:t>
      </w:r>
      <w:r>
        <w:rPr>
          <w:b/>
          <w:color w:val="000000"/>
        </w:rPr>
      </w:r>
    </w:p>
    <w:p>
      <w:pPr>
        <w:pBdr>
          <w:top w:val="none" w:color="000000" w:sz="4" w:space="0"/>
          <w:left w:val="none" w:color="000000" w:sz="4" w:space="0"/>
          <w:bottom w:val="none" w:color="000000" w:sz="4" w:space="0"/>
          <w:right w:val="none" w:color="000000" w:sz="4" w:space="0"/>
        </w:pBdr>
        <w:spacing w:after="0"/>
        <w:ind/>
        <w:jc w:val="both"/>
        <w:rPr/>
      </w:pPr>
      <w:r>
        <w:rPr>
          <w:b/>
          <w:bCs/>
          <w:color w:val="000000"/>
        </w:rPr>
        <mc:AlternateContent>
          <mc:Choice Requires="wpg">
            <w:drawing>
              <wp:anchor xmlns:wp="http://schemas.openxmlformats.org/drawingml/2006/wordprocessingDrawing" xmlns:wp14="http://schemas.microsoft.com/office/word/2010/wordprocessingDrawing" distT="0" distB="0" distL="114300" distR="114300" simplePos="0" relativeHeight="251667456" behindDoc="1" locked="0" layoutInCell="1" allowOverlap="1">
                <wp:simplePos x="0" y="0"/>
                <wp:positionH relativeFrom="column">
                  <wp:posOffset>-63500</wp:posOffset>
                </wp:positionH>
                <wp:positionV relativeFrom="paragraph">
                  <wp:posOffset>186690</wp:posOffset>
                </wp:positionV>
                <wp:extent cx="1013460" cy="1518285"/>
                <wp:effectExtent l="0" t="0" r="0" b="5715"/>
                <wp:wrapSquare wrapText="bothSides"/>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11050" name="Image 1622411050"/>
                        <pic:cNvPicPr>
                          <a:picLocks noChangeAspect="1"/>
                        </pic:cNvPicPr>
                        <pic:nvPr/>
                      </pic:nvPicPr>
                      <pic:blipFill>
                        <a:blip r:embed="rId30"/>
                        <a:stretch/>
                      </pic:blipFill>
                      <pic:spPr bwMode="auto">
                        <a:xfrm>
                          <a:off x="0" y="0"/>
                          <a:ext cx="1013460" cy="151828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67456;o:allowoverlap:true;o:allowincell:true;mso-position-horizontal-relative:text;margin-left:-5.00pt;mso-position-horizontal:absolute;mso-position-vertical-relative:text;margin-top:14.70pt;mso-position-vertical:absolute;width:79.80pt;height:119.55pt;mso-wrap-distance-left:9.00pt;mso-wrap-distance-top:0.00pt;mso-wrap-distance-right:9.00pt;mso-wrap-distance-bottom:0.00pt;z-index:1;" stroked="false">
                <w10:wrap type="square"/>
                <v:imagedata r:id="rId3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jc w:val="both"/>
        <w:rPr>
          <w:color w:val="000000"/>
        </w:rPr>
      </w:pPr>
      <w:r>
        <w:rPr>
          <w:b/>
          <w:color w:val="000000"/>
        </w:rPr>
        <w:t xml:space="preserve">Amélie Finet</w:t>
      </w:r>
      <w:r>
        <w:rPr>
          <w:color w:val="000000"/>
        </w:rPr>
        <w:t xml:space="preserve"> </w:t>
      </w:r>
      <w:r>
        <w:rPr>
          <w:color w:val="000000"/>
        </w:rPr>
        <w:t xml:space="preserve">est chargée de relations avec les publics et de la communication de l’Ensemble Orchestral Contemporain (EOC). Chaque saison, elle coordonne et accompagne les projets de </w:t>
      </w:r>
      <w:r>
        <w:rPr>
          <w:i/>
          <w:iCs/>
          <w:color w:val="000000"/>
        </w:rPr>
        <w:t xml:space="preserve">La fabrique EOC</w:t>
      </w:r>
      <w:r>
        <w:rPr>
          <w:color w:val="000000"/>
        </w:rPr>
        <w:t xml:space="preserve">, en écho avec la programmation de l’Ensemble et en partenariat avec les</w:t>
      </w:r>
      <w:r>
        <w:rPr>
          <w:color w:val="000000"/>
        </w:rPr>
        <w:t xml:space="preserve"> acteurs locaux. Ces projets de création au long cours permettent chaque année à plus de 2 000 personnes, tout-petits ou moins jeunes, mélomanes ou </w:t>
      </w:r>
      <w:r>
        <w:rPr>
          <w:color w:val="000000"/>
        </w:rPr>
        <w:t xml:space="preserve">non initiés</w:t>
      </w:r>
      <w:r>
        <w:rPr>
          <w:color w:val="000000"/>
        </w:rPr>
        <w:t xml:space="preserve">, de découvrir de nouvelles formes musicales et le vaste champ des possibles entre musique d’orch</w:t>
      </w:r>
      <w:r>
        <w:rPr>
          <w:color w:val="000000"/>
        </w:rPr>
        <w:t xml:space="preserve">estre et expérimentations électroniques. </w:t>
      </w:r>
      <w:hyperlink r:id="rId31" w:tooltip="https://www.eoc.fr/fabrique-eoc/" w:history="1">
        <w:r>
          <w:rPr>
            <w:rStyle w:val="1085"/>
          </w:rPr>
          <w:t xml:space="preserve">https</w:t>
        </w:r>
        <w:r>
          <w:rPr>
            <w:rStyle w:val="1085"/>
          </w:rPr>
          <w:t xml:space="preserve"> ://www.eoc.fr/fabrique-eoc/</w:t>
        </w:r>
      </w:hyperlink>
      <w:r/>
      <w:r>
        <w:rPr>
          <w:color w:val="000000"/>
        </w:rPr>
      </w:r>
    </w:p>
    <w:p>
      <w:pPr>
        <w:pBdr>
          <w:top w:val="none" w:color="000000" w:sz="4" w:space="0"/>
          <w:left w:val="none" w:color="000000" w:sz="4" w:space="0"/>
          <w:bottom w:val="none" w:color="000000" w:sz="4" w:space="0"/>
          <w:right w:val="none" w:color="000000" w:sz="4" w:space="0"/>
        </w:pBdr>
        <w:spacing w:after="0"/>
        <w:ind/>
        <w:jc w:val="both"/>
        <w:rPr>
          <w:b/>
          <w:bCs/>
          <w:color w:val="000000"/>
        </w:rPr>
      </w:pPr>
      <w:r>
        <w:rPr>
          <w:b/>
          <w:color w:val="000000"/>
        </w:rPr>
      </w:r>
      <w:r>
        <w:rPr>
          <w:b/>
          <w:bCs/>
          <w:color w:val="000000"/>
        </w:rPr>
      </w:r>
    </w:p>
    <w:p>
      <w:pPr>
        <w:pBdr>
          <w:top w:val="none" w:color="000000" w:sz="4" w:space="0"/>
          <w:left w:val="none" w:color="000000" w:sz="4" w:space="0"/>
          <w:bottom w:val="none" w:color="000000" w:sz="4" w:space="0"/>
          <w:right w:val="none" w:color="000000" w:sz="4" w:space="0"/>
        </w:pBdr>
        <w:spacing/>
        <w:ind/>
        <w:jc w:val="both"/>
        <w:rPr>
          <w:b/>
          <w:bCs/>
          <w:color w:val="000000"/>
        </w:rPr>
      </w:pPr>
      <w:r>
        <w:rPr>
          <w:b/>
          <w:bCs/>
          <w:color w:val="000000"/>
        </w:rPr>
      </w:r>
      <w:r>
        <w:rPr>
          <w:b/>
          <w:bCs/>
          <w:color w:val="000000"/>
        </w:rPr>
      </w:r>
    </w:p>
    <w:p>
      <w:pPr>
        <w:pBdr>
          <w:top w:val="none" w:color="000000" w:sz="4" w:space="0"/>
          <w:left w:val="none" w:color="000000" w:sz="4" w:space="0"/>
          <w:bottom w:val="none" w:color="000000" w:sz="4" w:space="0"/>
          <w:right w:val="none" w:color="000000" w:sz="4" w:space="0"/>
        </w:pBdr>
        <w:spacing/>
        <w:ind/>
        <w:jc w:val="both"/>
        <w:rPr>
          <w:color w:val="000000"/>
        </w:rPr>
      </w:pPr>
      <w:r>
        <w:rPr>
          <w:b/>
          <w:bCs/>
          <w:color w:val="000000"/>
        </w:rPr>
        <w:t xml:space="preserve">Ludovic Laurent-</w:t>
      </w:r>
      <w:r>
        <w:rPr>
          <w:b/>
          <w:bCs/>
          <w:color w:val="000000"/>
        </w:rPr>
        <w:t xml:space="preserve">Testoris</w:t>
      </w:r>
      <w:r>
        <w:rPr>
          <w:b/>
          <w:bCs/>
          <w:color w:val="000000"/>
        </w:rPr>
        <w:t xml:space="preserve"> est</w:t>
      </w:r>
      <w:r>
        <w:rPr>
          <w:color w:val="000000"/>
        </w:rPr>
        <w:t xml:space="preserve"> administrateur et fondateur de la compagnie VIVANT</w:t>
      </w:r>
      <w:r>
        <w:rPr>
          <w:color w:val="000000"/>
        </w:rPr>
        <w:t xml:space="preserve"> !e.</w:t>
      </w:r>
      <w:r>
        <w:rPr>
          <w:color w:val="000000"/>
        </w:rPr>
        <w:t xml:space="preserve"> </w:t>
      </w:r>
      <w:r>
        <w:rPr>
          <w:color w:val="000000"/>
        </w:rPr>
      </w:r>
    </w:p>
    <w:p>
      <w:pPr>
        <w:pBdr>
          <w:top w:val="none" w:color="000000" w:sz="4" w:space="0"/>
          <w:left w:val="none" w:color="000000" w:sz="4" w:space="0"/>
          <w:bottom w:val="none" w:color="000000" w:sz="4" w:space="0"/>
          <w:right w:val="none" w:color="000000" w:sz="4" w:space="0"/>
        </w:pBdr>
        <w:spacing w:after="0"/>
        <w:ind/>
        <w:jc w:val="both"/>
        <w:rPr>
          <w:b/>
          <w:bCs/>
          <w:color w:val="000000"/>
        </w:rPr>
      </w:pPr>
      <w:r>
        <w:rPr>
          <w:b/>
          <w:bCs/>
          <w:color w:val="000000"/>
        </w:rPr>
      </w:r>
      <w:r>
        <w:rPr>
          <w:b/>
          <w:bCs/>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0" locked="0" layoutInCell="1" allowOverlap="1">
                <wp:simplePos x="0" y="0"/>
                <wp:positionH relativeFrom="margin">
                  <wp:align>left</wp:align>
                </wp:positionH>
                <wp:positionV relativeFrom="paragraph">
                  <wp:posOffset>71755</wp:posOffset>
                </wp:positionV>
                <wp:extent cx="1521562" cy="1521562"/>
                <wp:effectExtent l="0" t="0" r="2540" b="2540"/>
                <wp:wrapThrough wrapText="bothSides">
                  <wp:wrapPolygon edited="1">
                    <wp:start x="0" y="0"/>
                    <wp:lineTo x="0" y="21366"/>
                    <wp:lineTo x="21366" y="21366"/>
                    <wp:lineTo x="21366" y="0"/>
                    <wp:lineTo x="0" y="0"/>
                  </wp:wrapPolygon>
                </wp:wrapThrough>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9308" name="Image 144009308"/>
                        <pic:cNvPicPr>
                          <a:picLocks noChangeAspect="1"/>
                        </pic:cNvPicPr>
                        <pic:nvPr/>
                      </pic:nvPicPr>
                      <pic:blipFill>
                        <a:blip r:embed="rId32"/>
                        <a:stretch/>
                      </pic:blipFill>
                      <pic:spPr bwMode="auto">
                        <a:xfrm>
                          <a:off x="0" y="0"/>
                          <a:ext cx="1521562" cy="15215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251666432;o:allowoverlap:true;o:allowincell:true;mso-position-horizontal-relative:margin;mso-position-horizontal:left;mso-position-vertical-relative:text;margin-top:5.65pt;mso-position-vertical:absolute;width:119.81pt;height:119.81pt;mso-wrap-distance-left:9.00pt;mso-wrap-distance-top:0.00pt;mso-wrap-distance-right:9.00pt;mso-wrap-distance-bottom:0.00pt;z-index:1;" wrapcoords="0 0 0 98917 98917 98917 98917 0 0 0" stroked="false">
                <w10:wrap type="through"/>
                <v:imagedata r:id="rId32" o:title=""/>
                <o:lock v:ext="edit" rotation="t"/>
              </v:shape>
            </w:pict>
          </mc:Fallback>
        </mc:AlternateContent>
      </w:r>
      <w:r>
        <w:rPr>
          <w:b/>
          <w:bCs/>
          <w:color w:val="000000"/>
        </w:rPr>
        <w:t xml:space="preserve">Claire Lebrun</w:t>
      </w:r>
      <w:r>
        <w:rPr>
          <w:color w:val="000000"/>
        </w:rPr>
        <w:t xml:space="preserve"> est contrebassiste, compositrice et artiste transdisciplinaire. Son travail explore les dialogues entre son, geste et image, à travers des formes hybrides mêlant création sonore, théâtre musical et arts visuels. Claire se produit dans des pro</w:t>
      </w:r>
      <w:r>
        <w:rPr>
          <w:color w:val="000000"/>
        </w:rPr>
        <w:t xml:space="preserve">jets singuliers, souvent en lien avec la création contemporaine. Elle est co-fondatrice de la Compagnie Les Parlophones avec la scénographe Hortense </w:t>
      </w:r>
      <w:r>
        <w:rPr>
          <w:color w:val="000000"/>
        </w:rPr>
        <w:t xml:space="preserve">Gesquière</w:t>
      </w:r>
      <w:r>
        <w:rPr>
          <w:color w:val="000000"/>
        </w:rPr>
        <w:t xml:space="preserve"> et forme le duo Tourne Sol avec l’accordéoniste Sophie </w:t>
      </w:r>
      <w:r>
        <w:rPr>
          <w:color w:val="000000"/>
        </w:rPr>
        <w:t xml:space="preserve">Aupied</w:t>
      </w:r>
      <w:r>
        <w:rPr>
          <w:color w:val="000000"/>
        </w:rPr>
        <w:t xml:space="preserve">-Vallin. Elle collabore également av</w:t>
      </w:r>
      <w:r>
        <w:rPr>
          <w:color w:val="000000"/>
        </w:rPr>
        <w:t xml:space="preserve">ec la danseuse et chorégraphe Ines Sofia Cardona Parra. Elle est soutenue par l’</w:t>
      </w:r>
      <w:r>
        <w:rPr>
          <w:color w:val="000000"/>
        </w:rPr>
        <w:t xml:space="preserve">Adami</w:t>
      </w:r>
      <w:r>
        <w:rPr>
          <w:color w:val="000000"/>
        </w:rPr>
        <w:t xml:space="preserve">, la SACEM et la fondation </w:t>
      </w:r>
      <w:r>
        <w:rPr>
          <w:color w:val="000000"/>
        </w:rPr>
        <w:t xml:space="preserve">Sylff</w:t>
      </w:r>
      <w:r>
        <w:rPr>
          <w:color w:val="000000"/>
        </w:rPr>
        <w:t xml:space="preserve"> de Tokyo. Diplômée du Pôle Sup’ 93, du CNSMDP et s’étant perfectionnée aux questions esthétiques aux Beaux-Arts de Paris, elle développe u</w:t>
      </w:r>
      <w:r>
        <w:rPr>
          <w:color w:val="000000"/>
        </w:rPr>
        <w:t xml:space="preserve">ne approche sensible de la transmission. Professeure titulaire au CRR de Versailles Grand Parc, elle encadre par ailleurs des projets d’étudiant.es au CNSMDP et au Pôle Sup’ 93, et intervient comme facilitatrice lors des marathons créatifs organisés par le</w:t>
      </w:r>
      <w:r>
        <w:rPr>
          <w:color w:val="000000"/>
        </w:rPr>
        <w:t xml:space="preserve"> ministère de la Culture.</w:t>
      </w:r>
      <w:r>
        <w:rPr>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t xml:space="preserve">Son engagement artistique et pédagogique s’étend à de nombreux projets participatifs en France et à l’étranger. Elle est également fondatrice et directrice du label et de la maison d’édition Chanteloup-Musique.</w:t>
      </w:r>
      <w:r>
        <w:rPr>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r>
      <w:r>
        <w:rPr>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1" locked="0" layoutInCell="1" allowOverlap="1">
                <wp:simplePos x="0" y="0"/>
                <wp:positionH relativeFrom="margin">
                  <wp:align>left</wp:align>
                </wp:positionH>
                <wp:positionV relativeFrom="paragraph">
                  <wp:posOffset>191770</wp:posOffset>
                </wp:positionV>
                <wp:extent cx="1198245" cy="1196340"/>
                <wp:effectExtent l="0" t="0" r="1905" b="3810"/>
                <wp:wrapSquare wrapText="bothSides"/>
                <wp:docPr id="13" name="Image 1" descr="Une image contenant Visage humain, personne, sourcil, co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85236" name="Image 1" descr="Une image contenant Visage humain, personne, sourcil, cou&#10;&#10;Le contenu généré par l’IA peut être incorrect."/>
                        <pic:cNvPicPr>
                          <a:picLocks noChangeAspect="1"/>
                        </pic:cNvPicPr>
                        <pic:nvPr/>
                      </pic:nvPicPr>
                      <pic:blipFill>
                        <a:blip r:embed="rId33"/>
                        <a:stretch/>
                      </pic:blipFill>
                      <pic:spPr bwMode="auto">
                        <a:xfrm>
                          <a:off x="0" y="0"/>
                          <a:ext cx="1198245" cy="119634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5408;o:allowoverlap:true;o:allowincell:true;mso-position-horizontal-relative:margin;mso-position-horizontal:left;mso-position-vertical-relative:text;margin-top:15.10pt;mso-position-vertical:absolute;width:94.35pt;height:94.20pt;mso-wrap-distance-left:9.00pt;mso-wrap-distance-top:0.00pt;mso-wrap-distance-right:9.00pt;mso-wrap-distance-bottom:0.00pt;z-index:1;" stroked="f">
                <w10:wrap type="square"/>
                <v:imagedata r:id="rId33" o:title=""/>
                <o:lock v:ext="edit" rotation="t"/>
              </v:shape>
            </w:pict>
          </mc:Fallback>
        </mc:AlternateContent>
      </w:r>
      <w:r>
        <w:rPr>
          <w:color w:val="000000"/>
        </w:rPr>
      </w:r>
    </w:p>
    <w:p>
      <w:pPr>
        <w:pBdr/>
        <w:spacing/>
        <w:ind/>
        <w:jc w:val="both"/>
        <w:rPr>
          <w:color w:val="000000"/>
        </w:rPr>
      </w:pPr>
      <w:r>
        <w:rPr>
          <w:color w:val="000000"/>
        </w:rPr>
        <w:t xml:space="preserve">Enseignante dans</w:t>
      </w:r>
      <w:r>
        <w:rPr>
          <w:color w:val="000000"/>
        </w:rPr>
        <w:t xml:space="preserve"> le premier degré pendant 15 ans, </w:t>
      </w:r>
      <w:r>
        <w:rPr>
          <w:b/>
          <w:bCs/>
          <w:color w:val="000000"/>
        </w:rPr>
        <w:t xml:space="preserve">Emmanuelle Lefebvre</w:t>
      </w:r>
      <w:r>
        <w:rPr>
          <w:color w:val="000000"/>
        </w:rPr>
        <w:t xml:space="preserve"> a ensuite occupé le poste d’enseignante référente aux usages du numériques pour les enseignants du 1</w:t>
      </w:r>
      <w:r>
        <w:rPr>
          <w:color w:val="000000"/>
          <w:vertAlign w:val="superscript"/>
        </w:rPr>
        <w:t xml:space="preserve">er</w:t>
      </w:r>
      <w:r>
        <w:rPr>
          <w:color w:val="000000"/>
        </w:rPr>
        <w:t xml:space="preserve"> degré. En 2016 elle est devenue conseillère pédagogique départementale en charge du plan français e</w:t>
      </w:r>
      <w:r>
        <w:rPr>
          <w:color w:val="000000"/>
        </w:rPr>
        <w:t xml:space="preserve">t des langues vivantes. Elle est depuis septembre 2024 formatrice à Réseau Canopé. Les thématiques des pédagogies actives, du numériques et de l’inclusion l’intéressent particulièrement.</w:t>
      </w:r>
      <w:r>
        <w:rPr>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r>
      <w:r>
        <w:rPr>
          <w:color w:val="000000"/>
        </w:rPr>
      </w:r>
    </w:p>
    <w:p>
      <w:pPr>
        <w:pBdr>
          <w:top w:val="none" w:color="000000" w:sz="4" w:space="0"/>
          <w:left w:val="none" w:color="000000" w:sz="4" w:space="0"/>
          <w:bottom w:val="none" w:color="000000" w:sz="4" w:space="0"/>
          <w:right w:val="none" w:color="000000" w:sz="4" w:space="0"/>
        </w:pBdr>
        <w:spacing/>
        <w:ind/>
        <w:jc w:val="both"/>
        <w:rPr>
          <w:color w:val="000000"/>
        </w:rPr>
      </w:pPr>
      <w:r>
        <mc:AlternateContent>
          <mc:Choice Requires="wpg">
            <w:drawing>
              <wp:anchor xmlns:wp="http://schemas.openxmlformats.org/drawingml/2006/wordprocessingDrawing" xmlns:wp14="http://schemas.microsoft.com/office/word/2010/wordprocessingDrawing" distT="0" distB="0" distL="115200" distR="115200" simplePos="0" relativeHeight="25600" behindDoc="0" locked="0" layoutInCell="1" allowOverlap="1">
                <wp:simplePos x="0" y="0"/>
                <wp:positionH relativeFrom="margin">
                  <wp:align>right</wp:align>
                </wp:positionH>
                <wp:positionV relativeFrom="paragraph">
                  <wp:posOffset>29049</wp:posOffset>
                </wp:positionV>
                <wp:extent cx="2499360" cy="1666240"/>
                <wp:effectExtent l="0" t="0" r="0" b="3810"/>
                <wp:wrapSquare wrapText="bothSides"/>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4874" name="Picture 5"/>
                        <pic:cNvPicPr>
                          <a:picLocks noChangeAspect="1"/>
                        </pic:cNvPicPr>
                        <pic:nvPr/>
                      </pic:nvPicPr>
                      <pic:blipFill>
                        <a:blip r:embed="rId34"/>
                        <a:stretch/>
                      </pic:blipFill>
                      <pic:spPr bwMode="auto">
                        <a:xfrm>
                          <a:off x="0" y="0"/>
                          <a:ext cx="2499360" cy="166624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600;o:allowoverlap:true;o:allowincell:true;mso-position-horizontal-relative:margin;mso-position-horizontal:right;mso-position-vertical-relative:text;margin-top:2.29pt;mso-position-vertical:absolute;width:196.80pt;height:131.20pt;mso-wrap-distance-left:9.07pt;mso-wrap-distance-top:0.00pt;mso-wrap-distance-right:9.07pt;mso-wrap-distance-bottom:0.00pt;z-index:1;" stroked="f">
                <w10:wrap type="square"/>
                <v:imagedata r:id="rId34" o:title=""/>
                <o:lock v:ext="edit" rotation="t"/>
              </v:shape>
            </w:pict>
          </mc:Fallback>
        </mc:AlternateContent>
      </w:r>
      <w:r>
        <w:rPr>
          <w:b/>
          <w:bCs/>
          <w:color w:val="000000"/>
        </w:rPr>
        <w:t xml:space="preserve">Déborah Livet</w:t>
      </w:r>
      <w:r>
        <w:rPr>
          <w:color w:val="000000"/>
        </w:rPr>
        <w:t xml:space="preserve"> est musicologue, elle est chargée de programmation et</w:t>
      </w:r>
      <w:r>
        <w:rPr>
          <w:color w:val="000000"/>
        </w:rPr>
        <w:t xml:space="preserve"> de production pour l’Opéra Orchestre Normandie Rouen. Ses travaux de recherche portent notamment sur Paul et Edmée Arma dont elle a publié le premier livre des </w:t>
      </w:r>
      <w:r>
        <w:rPr>
          <w:i/>
          <w:iCs/>
          <w:color w:val="000000"/>
        </w:rPr>
        <w:t xml:space="preserve">Mémoires à deux voix. </w:t>
      </w:r>
      <w:r>
        <w:rPr>
          <w:color w:val="000000"/>
        </w:rPr>
        <w:t xml:space="preserve">Elle est chercheuse associée au laboratoire </w:t>
      </w:r>
      <w:r>
        <w:rPr>
          <w:color w:val="000000"/>
        </w:rPr>
        <w:t xml:space="preserve">HisTeMé</w:t>
      </w:r>
      <w:r>
        <w:rPr>
          <w:color w:val="000000"/>
        </w:rPr>
        <w:t xml:space="preserve"> (EA 7455) de l’univer</w:t>
      </w:r>
      <w:r>
        <w:rPr>
          <w:color w:val="000000"/>
        </w:rPr>
        <w:t xml:space="preserve">sité de Caen Normandie et membre du comité scientifique de </w:t>
      </w:r>
      <w:r>
        <w:rPr>
          <w:color w:val="000000"/>
        </w:rPr>
        <w:t xml:space="preserve">Dezède</w:t>
      </w:r>
      <w:r>
        <w:rPr>
          <w:color w:val="000000"/>
        </w:rPr>
        <w:t xml:space="preserve">.</w:t>
      </w:r>
      <w:r>
        <w:rPr>
          <w:color w:val="000000"/>
        </w:rPr>
      </w:r>
    </w:p>
    <w:p>
      <w:pPr>
        <w:pBdr>
          <w:top w:val="none" w:color="000000" w:sz="4" w:space="0"/>
          <w:left w:val="none" w:color="000000" w:sz="4" w:space="0"/>
          <w:bottom w:val="none" w:color="000000" w:sz="4" w:space="0"/>
          <w:right w:val="none" w:color="000000" w:sz="4" w:space="0"/>
        </w:pBdr>
        <w:tabs>
          <w:tab w:val="left" w:leader="none" w:pos="9724"/>
        </w:tabs>
        <w:spacing w:after="0"/>
        <w:ind w:right="567"/>
        <w:jc w:val="both"/>
        <w:rPr/>
      </w:pPr>
      <w:r/>
      <w:r/>
    </w:p>
    <w:p>
      <w:pPr>
        <w:pBdr>
          <w:top w:val="none" w:color="000000" w:sz="4" w:space="0"/>
          <w:left w:val="none" w:color="000000" w:sz="4" w:space="0"/>
          <w:bottom w:val="none" w:color="000000" w:sz="4" w:space="0"/>
          <w:right w:val="none" w:color="000000" w:sz="4" w:space="0"/>
        </w:pBdr>
        <w:tabs>
          <w:tab w:val="left" w:leader="none" w:pos="9724"/>
        </w:tabs>
        <w:spacing w:after="0"/>
        <w:ind w:right="567"/>
        <w:jc w:val="both"/>
        <w:rPr/>
      </w:pPr>
      <w:r/>
      <w:r/>
    </w:p>
    <w:p>
      <w:pPr>
        <w:pBdr>
          <w:top w:val="none" w:color="000000" w:sz="4" w:space="0"/>
          <w:left w:val="none" w:color="000000" w:sz="4" w:space="0"/>
          <w:bottom w:val="none" w:color="000000" w:sz="4" w:space="0"/>
          <w:right w:val="none" w:color="000000" w:sz="4" w:space="0"/>
        </w:pBdr>
        <w:tabs>
          <w:tab w:val="left" w:leader="none" w:pos="9724"/>
        </w:tabs>
        <w:spacing/>
        <w:ind w:right="567"/>
        <w:jc w:val="both"/>
        <w:rPr>
          <w:rStyle w:val="1067"/>
          <w:b w:val="0"/>
          <w:bCs w:val="0"/>
        </w:rPr>
      </w:pPr>
      <w:r>
        <w:rPr>
          <w:rStyle w:val="1067"/>
        </w:rPr>
        <w:t xml:space="preserve">Sarah </w:t>
      </w:r>
      <w:r>
        <w:rPr>
          <w:rStyle w:val="1067"/>
        </w:rPr>
        <w:t xml:space="preserve">Mattera</w:t>
      </w:r>
      <w:r>
        <w:rPr>
          <w:rStyle w:val="1067"/>
        </w:rPr>
        <w:t xml:space="preserve"> </w:t>
      </w:r>
      <w:r>
        <w:rPr>
          <w:rStyle w:val="1067"/>
          <w:b w:val="0"/>
          <w:bCs w:val="0"/>
        </w:rPr>
        <w:t xml:space="preserve">est directrice de mille formes, centre d’initiation à l’art pour les 0-6 ans, basé à Clermont-Ferrand.</w:t>
      </w:r>
      <w:r>
        <w:rPr>
          <w:rStyle w:val="1067"/>
          <w:b w:val="0"/>
          <w:bCs w:val="0"/>
        </w:rPr>
      </w:r>
    </w:p>
    <w:p>
      <w:pPr>
        <w:pBdr>
          <w:top w:val="none" w:color="000000" w:sz="4" w:space="0"/>
          <w:left w:val="none" w:color="000000" w:sz="4" w:space="0"/>
          <w:bottom w:val="none" w:color="000000" w:sz="4" w:space="0"/>
          <w:right w:val="none" w:color="000000" w:sz="4" w:space="0"/>
        </w:pBdr>
        <w:tabs>
          <w:tab w:val="left" w:leader="none" w:pos="9724"/>
        </w:tabs>
        <w:spacing/>
        <w:ind w:right="567"/>
        <w:jc w:val="both"/>
        <w:rPr>
          <w:rStyle w:val="1067"/>
        </w:rPr>
      </w:pPr>
      <w:r/>
      <w:r>
        <w:rPr>
          <w:rStyle w:val="1067"/>
        </w:rPr>
      </w:r>
    </w:p>
    <w:p>
      <w:pPr>
        <w:pBdr>
          <w:top w:val="none" w:color="000000" w:sz="4" w:space="0"/>
          <w:left w:val="none" w:color="000000" w:sz="4" w:space="0"/>
          <w:bottom w:val="none" w:color="000000" w:sz="4" w:space="0"/>
          <w:right w:val="none" w:color="000000" w:sz="4" w:space="0"/>
        </w:pBdr>
        <w:tabs>
          <w:tab w:val="left" w:leader="none" w:pos="9724"/>
        </w:tabs>
        <w:spacing/>
        <w:ind w:right="567"/>
        <w:jc w:val="both"/>
        <w:rPr/>
      </w:pPr>
      <w:r>
        <w:rPr>
          <w:rStyle w:val="1067"/>
        </w:rPr>
        <w:t xml:space="preserve">Juliette </w:t>
      </w:r>
      <w:r>
        <w:rPr>
          <w:rStyle w:val="1067"/>
        </w:rPr>
        <w:t xml:space="preserve">Morain</w:t>
      </w:r>
      <w:r>
        <w:t xml:space="preserve"> est responsable de l’</w:t>
      </w:r>
      <w:r>
        <w:t xml:space="preserve">action culturelle et de la médiation aux Archives Municipales et Métropolitaines de Saint-Étienne.</w:t>
      </w:r>
      <w:r/>
    </w:p>
    <w:p>
      <w:pPr>
        <w:pBdr>
          <w:top w:val="none" w:color="000000" w:sz="4" w:space="0"/>
          <w:left w:val="none" w:color="000000" w:sz="4" w:space="0"/>
          <w:bottom w:val="none" w:color="000000" w:sz="4" w:space="0"/>
          <w:right w:val="none" w:color="000000" w:sz="4" w:space="0"/>
        </w:pBdr>
        <w:spacing w:after="0"/>
        <w:ind/>
        <w:jc w:val="both"/>
        <w:rPr/>
      </w:pPr>
      <w:r/>
      <w:r/>
    </w:p>
    <w:p>
      <w:pPr>
        <w:keepNext w:val="true"/>
        <w:pBdr/>
        <w:tabs>
          <w:tab w:val="left" w:leader="none" w:pos="9724"/>
        </w:tabs>
        <w:spacing/>
        <w:ind w:right="567"/>
        <w:jc w:val="both"/>
        <w:rPr>
          <w:bCs/>
        </w:rPr>
      </w:pPr>
      <w:r>
        <w:rPr>
          <w:bCs/>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1" locked="0" layoutInCell="1" allowOverlap="1">
                <wp:simplePos x="0" y="0"/>
                <wp:positionH relativeFrom="margin">
                  <wp:align>right</wp:align>
                </wp:positionH>
                <wp:positionV relativeFrom="paragraph">
                  <wp:posOffset>8255</wp:posOffset>
                </wp:positionV>
                <wp:extent cx="1144905" cy="1722120"/>
                <wp:effectExtent l="0" t="0" r="0" b="0"/>
                <wp:wrapThrough wrapText="bothSides">
                  <wp:wrapPolygon edited="1">
                    <wp:start x="0" y="0"/>
                    <wp:lineTo x="0" y="21265"/>
                    <wp:lineTo x="21205" y="21265"/>
                    <wp:lineTo x="21205" y="0"/>
                    <wp:lineTo x="0" y="0"/>
                  </wp:wrapPolygon>
                </wp:wrapThrough>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91013" name="Image 2008291013"/>
                        <pic:cNvPicPr>
                          <a:picLocks noChangeAspect="1"/>
                        </pic:cNvPicPr>
                        <pic:nvPr/>
                      </pic:nvPicPr>
                      <pic:blipFill>
                        <a:blip r:embed="rId35"/>
                        <a:stretch/>
                      </pic:blipFill>
                      <pic:spPr bwMode="auto">
                        <a:xfrm>
                          <a:off x="0" y="0"/>
                          <a:ext cx="1144905" cy="172212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8480;o:allowoverlap:true;o:allowincell:true;mso-position-horizontal-relative:margin;mso-position-horizontal:right;mso-position-vertical-relative:text;margin-top:0.65pt;mso-position-vertical:absolute;width:90.15pt;height:135.60pt;mso-wrap-distance-left:9.00pt;mso-wrap-distance-top:0.00pt;mso-wrap-distance-right:9.00pt;mso-wrap-distance-bottom:0.00pt;z-index:1;" wrapcoords="0 0 0 98449 98171 98449 98171 0 0 0" stroked="false">
                <w10:wrap type="through"/>
                <v:imagedata r:id="rId35" o:title=""/>
                <o:lock v:ext="edit" rotation="t"/>
              </v:shape>
            </w:pict>
          </mc:Fallback>
        </mc:AlternateContent>
      </w:r>
      <w:r>
        <w:rPr>
          <w:b/>
        </w:rPr>
        <w:t xml:space="preserve">Luciana </w:t>
      </w:r>
      <w:r>
        <w:rPr>
          <w:b/>
        </w:rPr>
        <w:t xml:space="preserve">Penna</w:t>
      </w:r>
      <w:r>
        <w:rPr>
          <w:bCs/>
        </w:rPr>
        <w:t xml:space="preserve"> est ethnomusicologue et responsable éducative, musiques de tradition orale et interculturalité à la Cité de la musique-Philharmonie de Paris.</w:t>
      </w:r>
      <w:r>
        <w:rPr>
          <w:bCs/>
        </w:rPr>
        <w:t xml:space="preserve"> Sa recherche ethnomusicologique porte sur les musiques des Wolofs et des Seereer du Sénégal. Autrice de plusieurs articles et CDs (</w:t>
      </w:r>
      <w:r>
        <w:rPr>
          <w:bCs/>
        </w:rPr>
        <w:t xml:space="preserve">Ocora</w:t>
      </w:r>
      <w:r>
        <w:rPr>
          <w:bCs/>
        </w:rPr>
        <w:t xml:space="preserve">-Radio France), elle a coordonné la collection « Traditions chantées » (Édition Cité de la musique) et a signé deux ouv</w:t>
      </w:r>
      <w:r>
        <w:rPr>
          <w:bCs/>
        </w:rPr>
        <w:t xml:space="preserve">rages sur la musique des Wolofs. Elle a été chercheuse associée au laboratoire « Éco-anthropologie et ethnobiologie » (CNRS-Musée National d’Histoire Naturelle, 2008-2023) et Présidente de la Société Française d’ethnomusicologie (2016-2018).</w:t>
      </w:r>
      <w:r>
        <w:rPr>
          <w:bCs/>
        </w:rPr>
      </w:r>
    </w:p>
    <w:p>
      <w:pPr>
        <w:keepNext w:val="true"/>
        <w:pBdr/>
        <w:tabs>
          <w:tab w:val="left" w:leader="none" w:pos="9724"/>
        </w:tabs>
        <w:spacing/>
        <w:ind w:right="567"/>
        <w:jc w:val="both"/>
        <w:rPr>
          <w:bCs/>
        </w:rPr>
      </w:pPr>
      <w:r>
        <w:rPr>
          <w:bCs/>
        </w:rPr>
        <w:t xml:space="preserve"> </w:t>
      </w:r>
      <w:r>
        <w:rPr>
          <w:bCs/>
        </w:rPr>
      </w:r>
      <w:r>
        <w:rPr>
          <w:b/>
          <w:bCs/>
        </w:rPr>
      </w:r>
      <w:r>
        <w:rPr>
          <w:b/>
          <w:bCs/>
        </w:rPr>
      </w:r>
      <w:r>
        <w:rPr>
          <w:bCs/>
        </w:rPr>
      </w:r>
    </w:p>
    <w:p>
      <w:pPr>
        <w:pBdr>
          <w:top w:val="none" w:color="000000" w:sz="4" w:space="0"/>
          <w:left w:val="none" w:color="000000" w:sz="4" w:space="0"/>
          <w:bottom w:val="none" w:color="000000" w:sz="4" w:space="0"/>
          <w:right w:val="none" w:color="000000" w:sz="4" w:space="0"/>
        </w:pBdr>
        <w:tabs>
          <w:tab w:val="left" w:leader="none" w:pos="9724"/>
        </w:tabs>
        <w:spacing/>
        <w:ind w:right="567"/>
        <w:jc w:val="both"/>
        <w:rPr>
          <w:b/>
          <w:color w:val="000000"/>
        </w:rPr>
      </w:pPr>
      <w:r>
        <w:rPr>
          <w:b/>
          <w:color w:val="000000"/>
        </w:rPr>
      </w:r>
      <w:r>
        <w:rPr>
          <w:b/>
          <w:color w:val="000000"/>
        </w:rPr>
      </w:r>
    </w:p>
    <w:p>
      <w:pPr>
        <w:pBdr>
          <w:top w:val="none" w:color="000000" w:sz="4" w:space="0"/>
          <w:left w:val="none" w:color="000000" w:sz="4" w:space="0"/>
          <w:bottom w:val="none" w:color="000000" w:sz="4" w:space="0"/>
          <w:right w:val="none" w:color="000000" w:sz="4" w:space="0"/>
        </w:pBdr>
        <w:tabs>
          <w:tab w:val="left" w:leader="none" w:pos="9724"/>
        </w:tabs>
        <w:spacing/>
        <w:ind w:right="567"/>
        <w:jc w:val="both"/>
        <w:rPr/>
      </w:pPr>
      <w:r>
        <mc:AlternateContent>
          <mc:Choice Requires="wpg">
            <w:drawing>
              <wp:anchor xmlns:wp="http://schemas.openxmlformats.org/drawingml/2006/wordprocessingDrawing" xmlns:wp14="http://schemas.microsoft.com/office/word/2010/wordprocessingDrawing" distT="0" distB="0" distL="115200" distR="115200" simplePos="0" relativeHeight="19456" behindDoc="0" locked="0" layoutInCell="1" allowOverlap="1">
                <wp:simplePos x="0" y="0"/>
                <wp:positionH relativeFrom="margin">
                  <wp:posOffset>5080</wp:posOffset>
                </wp:positionH>
                <wp:positionV relativeFrom="paragraph">
                  <wp:posOffset>60325</wp:posOffset>
                </wp:positionV>
                <wp:extent cx="1135380" cy="1702435"/>
                <wp:effectExtent l="0" t="0" r="7620" b="0"/>
                <wp:wrapSquare wrapText="bothSides"/>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05472" name="Picture 3"/>
                        <pic:cNvPicPr>
                          <a:picLocks noChangeAspect="1"/>
                        </pic:cNvPicPr>
                        <pic:nvPr/>
                      </pic:nvPicPr>
                      <pic:blipFill>
                        <a:blip r:embed="rId36"/>
                        <a:stretch/>
                      </pic:blipFill>
                      <pic:spPr bwMode="auto">
                        <a:xfrm>
                          <a:off x="0" y="0"/>
                          <a:ext cx="1135380" cy="170243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19456;o:allowoverlap:true;o:allowincell:true;mso-position-horizontal-relative:margin;margin-left:0.40pt;mso-position-horizontal:absolute;mso-position-vertical-relative:text;margin-top:4.75pt;mso-position-vertical:absolute;width:89.40pt;height:134.05pt;mso-wrap-distance-left:9.07pt;mso-wrap-distance-top:0.00pt;mso-wrap-distance-right:9.07pt;mso-wrap-distance-bottom:0.00pt;z-index:1;" stroked="f">
                <w10:wrap type="square"/>
                <v:imagedata r:id="rId36" o:title=""/>
                <o:lock v:ext="edit" rotation="t"/>
              </v:shape>
            </w:pict>
          </mc:Fallback>
        </mc:AlternateContent>
      </w:r>
      <w:r>
        <w:rPr>
          <w:b/>
          <w:color w:val="000000"/>
        </w:rPr>
        <w:t xml:space="preserve">Cécile Pi</w:t>
      </w:r>
      <w:r>
        <w:rPr>
          <w:b/>
          <w:color w:val="000000"/>
        </w:rPr>
        <w:t xml:space="preserve">chon-Bonin </w:t>
      </w:r>
      <w:r>
        <w:rPr>
          <w:color w:val="000000"/>
        </w:rPr>
        <w:t xml:space="preserve">est chargée de recherche au CNRS (LIR3S), historienne de l’art, spécialiste de la culture visuelle enfantine.</w:t>
      </w:r>
      <w:r/>
    </w:p>
    <w:p>
      <w:pPr>
        <w:pBdr>
          <w:top w:val="none" w:color="000000" w:sz="4" w:space="0"/>
          <w:left w:val="none" w:color="000000" w:sz="4" w:space="0"/>
          <w:bottom w:val="none" w:color="000000" w:sz="4" w:space="0"/>
          <w:right w:val="none" w:color="000000" w:sz="4" w:space="0"/>
        </w:pBdr>
        <w:tabs>
          <w:tab w:val="left" w:leader="none" w:pos="9724"/>
        </w:tabs>
        <w:spacing/>
        <w:ind w:right="-1"/>
        <w:jc w:val="both"/>
        <w:rPr>
          <w:color w:val="000000"/>
        </w:rPr>
      </w:pPr>
      <w:r>
        <w:rPr>
          <w:color w:val="000000"/>
        </w:rPr>
      </w:r>
      <w:r>
        <w:rPr>
          <w:color w:val="000000"/>
        </w:rPr>
      </w:r>
    </w:p>
    <w:p>
      <w:pPr>
        <w:pBdr>
          <w:top w:val="none" w:color="000000" w:sz="4" w:space="0"/>
          <w:left w:val="none" w:color="000000" w:sz="4" w:space="0"/>
          <w:bottom w:val="none" w:color="000000" w:sz="4" w:space="0"/>
          <w:right w:val="none" w:color="000000" w:sz="4" w:space="0"/>
        </w:pBdr>
        <w:tabs>
          <w:tab w:val="left" w:leader="none" w:pos="9724"/>
        </w:tabs>
        <w:spacing/>
        <w:ind w:right="567"/>
        <w:jc w:val="both"/>
        <w:rPr/>
      </w:pPr>
      <w:r/>
      <w:r/>
    </w:p>
    <w:p>
      <w:pPr>
        <w:pBdr>
          <w:top w:val="none" w:color="000000" w:sz="4" w:space="0"/>
          <w:left w:val="none" w:color="000000" w:sz="4" w:space="0"/>
          <w:bottom w:val="none" w:color="000000" w:sz="4" w:space="0"/>
          <w:right w:val="none" w:color="000000" w:sz="4" w:space="0"/>
        </w:pBdr>
        <w:tabs>
          <w:tab w:val="left" w:leader="none" w:pos="9724"/>
        </w:tabs>
        <w:spacing/>
        <w:ind w:right="567"/>
        <w:jc w:val="both"/>
        <w:rPr/>
      </w:pPr>
      <w:r/>
      <w:r/>
    </w:p>
    <w:p>
      <w:pPr>
        <w:pBdr>
          <w:top w:val="none" w:color="000000" w:sz="4" w:space="0"/>
          <w:left w:val="none" w:color="000000" w:sz="4" w:space="0"/>
          <w:bottom w:val="none" w:color="000000" w:sz="4" w:space="0"/>
          <w:right w:val="none" w:color="000000" w:sz="4" w:space="0"/>
        </w:pBdr>
        <w:tabs>
          <w:tab w:val="left" w:leader="none" w:pos="9724"/>
        </w:tabs>
        <w:spacing/>
        <w:ind w:right="567"/>
        <w:jc w:val="both"/>
        <w:rPr/>
      </w:pPr>
      <w:r/>
      <w:r/>
    </w:p>
    <w:p>
      <w:pPr>
        <w:pBdr>
          <w:top w:val="none" w:color="000000" w:sz="4" w:space="0"/>
          <w:left w:val="none" w:color="000000" w:sz="4" w:space="0"/>
          <w:bottom w:val="none" w:color="000000" w:sz="4" w:space="0"/>
          <w:right w:val="none" w:color="000000" w:sz="4" w:space="0"/>
        </w:pBdr>
        <w:tabs>
          <w:tab w:val="left" w:leader="none" w:pos="9724"/>
        </w:tabs>
        <w:spacing/>
        <w:ind w:right="567"/>
        <w:jc w:val="both"/>
        <w:rPr/>
      </w:pPr>
      <w: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r>
      <w:r>
        <w:rPr>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w:rPr>
          <w:color w:val="000000"/>
        </w:rPr>
      </w:r>
      <w:r>
        <w:rPr>
          <w:color w:val="000000"/>
        </w:rPr>
      </w:r>
    </w:p>
    <w:p>
      <w:pPr>
        <w:pBdr>
          <w:top w:val="none" w:color="000000" w:sz="4" w:space="0"/>
          <w:left w:val="none" w:color="000000" w:sz="4" w:space="0"/>
          <w:bottom w:val="none" w:color="000000" w:sz="4" w:space="0"/>
          <w:right w:val="none" w:color="000000" w:sz="4" w:space="0"/>
        </w:pBdr>
        <w:spacing w:after="0"/>
        <w:ind/>
        <w:jc w:val="both"/>
        <w:rPr>
          <w:color w:val="000000"/>
        </w:rPr>
      </w:pPr>
      <w:r>
        <w:rPr>
          <w:b/>
          <w:color w:val="000000"/>
        </w:rPr>
        <w:t xml:space="preserve">Antoine </w:t>
      </w:r>
      <w:r>
        <w:rPr>
          <w:b/>
          <w:color w:val="000000"/>
        </w:rPr>
        <w:t xml:space="preserve">Ravat</w:t>
      </w:r>
      <w:r>
        <w:rPr>
          <w:color w:val="000000"/>
        </w:rPr>
        <w:t xml:space="preserve"> est responsable des collections et de la programmation à la Cinémathèque de Saint-Étienne depuis 2014. Il a été médiateur puis directeur du Cinéma Le France à Saint-Étienne entre 1997 et 2013. Il a participé à la création d’un dispositif d’éducation à l’i</w:t>
      </w:r>
      <w:r>
        <w:rPr>
          <w:color w:val="000000"/>
        </w:rPr>
        <w:t xml:space="preserve">mage en direction des scolaires de la Vallée du Gier en 1994 au Ciné Lumière de Saint-Chamond et au Ciné Chaplin de Rive-de-Gier.</w:t>
      </w:r>
      <w:r>
        <w:rPr>
          <w:color w:val="000000"/>
        </w:rPr>
      </w:r>
    </w:p>
    <w:p>
      <w:pPr>
        <w:pBdr>
          <w:top w:val="none" w:color="000000" w:sz="4" w:space="0"/>
          <w:left w:val="none" w:color="000000" w:sz="4" w:space="0"/>
          <w:bottom w:val="none" w:color="000000" w:sz="4" w:space="0"/>
          <w:right w:val="none" w:color="000000" w:sz="4" w:space="0"/>
        </w:pBdr>
        <w:spacing w:after="0"/>
        <w:ind/>
        <w:jc w:val="both"/>
        <w:rPr>
          <w:b/>
          <w:bCs/>
        </w:rPr>
      </w:pPr>
      <w:r>
        <w:rPr>
          <w:b/>
          <w:bCs/>
        </w:rPr>
      </w:r>
      <w:r>
        <w:rPr>
          <w:b/>
          <w:bCs/>
        </w:rPr>
      </w:r>
    </w:p>
    <w:p>
      <w:pPr>
        <w:pBdr>
          <w:top w:val="none" w:color="000000" w:sz="4" w:space="0"/>
          <w:left w:val="none" w:color="000000" w:sz="4" w:space="0"/>
          <w:bottom w:val="none" w:color="000000" w:sz="4" w:space="0"/>
          <w:right w:val="none" w:color="000000" w:sz="4" w:space="0"/>
        </w:pBdr>
        <w:spacing w:after="0"/>
        <w:ind/>
        <w:jc w:val="both"/>
        <w:rPr>
          <w:color w:val="000000"/>
        </w:rPr>
      </w:pPr>
      <w:r>
        <w:rPr>
          <w:b/>
          <w:bCs/>
        </w:rPr>
        <mc:AlternateContent>
          <mc:Choice Requires="wpg">
            <w:drawing>
              <wp:anchor xmlns:wp="http://schemas.openxmlformats.org/drawingml/2006/wordprocessingDrawing" xmlns:wp14="http://schemas.microsoft.com/office/word/2010/wordprocessingDrawing" distT="0" distB="0" distL="114300" distR="114300" simplePos="0" relativeHeight="251669504" behindDoc="1" locked="0" layoutInCell="1" allowOverlap="1">
                <wp:simplePos x="0" y="0"/>
                <wp:positionH relativeFrom="margin">
                  <wp:align>left</wp:align>
                </wp:positionH>
                <wp:positionV relativeFrom="paragraph">
                  <wp:posOffset>10795</wp:posOffset>
                </wp:positionV>
                <wp:extent cx="1889760" cy="1877060"/>
                <wp:effectExtent l="0" t="0" r="0" b="8890"/>
                <wp:wrapThrough wrapText="bothSides">
                  <wp:wrapPolygon edited="1">
                    <wp:start x="0" y="0"/>
                    <wp:lineTo x="0" y="21483"/>
                    <wp:lineTo x="21339" y="21483"/>
                    <wp:lineTo x="21339" y="0"/>
                    <wp:lineTo x="0" y="0"/>
                  </wp:wrapPolygon>
                </wp:wrapThrough>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48900" name="Image 888348900"/>
                        <pic:cNvPicPr>
                          <a:picLocks noChangeAspect="1"/>
                        </pic:cNvPicPr>
                        <pic:nvPr/>
                      </pic:nvPicPr>
                      <pic:blipFill>
                        <a:blip r:embed="rId37"/>
                        <a:stretch/>
                      </pic:blipFill>
                      <pic:spPr bwMode="auto">
                        <a:xfrm>
                          <a:off x="0" y="0"/>
                          <a:ext cx="1889760" cy="187706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69504;o:allowoverlap:true;o:allowincell:true;mso-position-horizontal-relative:margin;mso-position-horizontal:left;mso-position-vertical-relative:text;margin-top:0.85pt;mso-position-vertical:absolute;width:148.80pt;height:147.80pt;mso-wrap-distance-left:9.00pt;mso-wrap-distance-top:0.00pt;mso-wrap-distance-right:9.00pt;mso-wrap-distance-bottom:0.00pt;z-index:1;" wrapcoords="0 0 0 99458 98792 99458 98792 0 0 0" stroked="false">
                <w10:wrap type="through"/>
                <v:imagedata r:id="rId37" o:title=""/>
                <o:lock v:ext="edit" rotation="t"/>
              </v:shape>
            </w:pict>
          </mc:Fallback>
        </mc:AlternateContent>
      </w:r>
      <w:r>
        <w:rPr>
          <w:color w:val="000000"/>
        </w:rPr>
        <w:t xml:space="preserve">Médiatrice et ingénieure culturelle, </w:t>
      </w:r>
      <w:r>
        <w:rPr>
          <w:b/>
          <w:bCs/>
          <w:color w:val="000000"/>
        </w:rPr>
        <w:t xml:space="preserve">Camille Soler</w:t>
      </w:r>
      <w:r>
        <w:rPr>
          <w:color w:val="000000"/>
        </w:rPr>
        <w:t xml:space="preserve"> a traversé plusieurs organisations publiques et privées (scène nationale</w:t>
      </w:r>
      <w:r>
        <w:rPr>
          <w:color w:val="000000"/>
        </w:rPr>
        <w:t xml:space="preserve">, collectivité territoriale, lieu de musiques actuelles, maison des écritures contemporaines), dans lesquelles elle avait la responsabilité des projets en direction de l’enfance et la jeunesse. Co-fondatrice de </w:t>
      </w:r>
      <w:r>
        <w:rPr>
          <w:color w:val="000000"/>
        </w:rPr>
        <w:t xml:space="preserve">RamDam</w:t>
      </w:r>
      <w:r>
        <w:rPr>
          <w:color w:val="000000"/>
        </w:rPr>
        <w:t xml:space="preserve">, réseau national des musiques jeune pu</w:t>
      </w:r>
      <w:r>
        <w:rPr>
          <w:color w:val="000000"/>
        </w:rPr>
        <w:t xml:space="preserve">blic, elle participe désormais à la structuration, la valorisation et l’accompagnement de la filière musicale jeune public.</w:t>
      </w:r>
      <w:r>
        <w:rPr>
          <w:color w:val="000000"/>
        </w:rPr>
      </w:r>
    </w:p>
    <w:p>
      <w:pPr>
        <w:pBdr/>
        <w:spacing/>
        <w:ind/>
        <w:jc w:val="both"/>
        <w:rPr>
          <w:color w:val="000000"/>
        </w:rPr>
      </w:pPr>
      <w:r>
        <w:rPr>
          <w:color w:val="000000"/>
        </w:rPr>
      </w:r>
      <w:r>
        <w:rPr>
          <w:color w:val="000000"/>
        </w:rPr>
      </w:r>
    </w:p>
    <w:p>
      <w:pPr>
        <w:pBdr/>
        <w:spacing w:after="0"/>
        <w:ind/>
        <w:jc w:val="both"/>
        <w:rPr>
          <w:b/>
          <w:bCs/>
        </w:rPr>
      </w:pPr>
      <w:r>
        <w:rPr>
          <w:b/>
          <w:bCs/>
        </w:rPr>
      </w:r>
      <w:r>
        <w:rPr>
          <w:b/>
          <w:bCs/>
        </w:rPr>
      </w:r>
    </w:p>
    <w:p>
      <w:pPr>
        <w:pBdr/>
        <w:spacing w:after="0"/>
        <w:ind/>
        <w:jc w:val="both"/>
        <w:rPr>
          <w:b/>
          <w:bCs/>
        </w:rPr>
      </w:pPr>
      <w:r>
        <w:rPr>
          <w:b/>
          <w:bCs/>
        </w:rPr>
      </w:r>
      <w:r>
        <w:rPr>
          <w:b/>
          <w:bCs/>
        </w:rPr>
      </w:r>
    </w:p>
    <w:p>
      <w:pPr>
        <w:pBdr/>
        <w:spacing w:after="0"/>
        <w:ind/>
        <w:jc w:val="both"/>
        <w:rPr>
          <w:b/>
          <w:bCs/>
        </w:rPr>
      </w:pPr>
      <w:r>
        <w:rPr>
          <w:b/>
          <w:bCs/>
        </w:rPr>
        <w:t xml:space="preserve">Agnès Soubeyrand</w:t>
      </w:r>
      <w:r>
        <w:t xml:space="preserve"> est médiatrice culturelle au Musée d’art et d’</w:t>
      </w:r>
      <w:r>
        <w:t xml:space="preserve">industrie et guide conférencière du service Saint-Étienne Ville d’art et d’histoire. </w:t>
      </w:r>
      <w:r>
        <w:rPr>
          <w:b/>
          <w:bCs/>
        </w:rPr>
      </w:r>
    </w:p>
    <w:p>
      <w:pPr>
        <w:pBdr/>
        <w:spacing w:after="0"/>
        <w:ind/>
        <w:jc w:val="both"/>
        <w:rPr>
          <w:b/>
          <w:bCs/>
        </w:rPr>
      </w:pPr>
      <w:r>
        <w:rPr>
          <w:b/>
          <w:bCs/>
        </w:rPr>
      </w:r>
      <w:r>
        <w:rPr>
          <w:b/>
          <w:bCs/>
        </w:rPr>
      </w:r>
    </w:p>
    <w:p>
      <w:pPr>
        <w:pBdr/>
        <w:spacing/>
        <w:ind/>
        <w:jc w:val="both"/>
        <w:rPr>
          <w:color w:val="000000"/>
        </w:rPr>
      </w:pPr>
      <w:r>
        <w:rPr>
          <w:b/>
          <w:bCs/>
        </w:rPr>
        <w:t xml:space="preserve">Céline Soutif </w:t>
      </w:r>
      <w:r>
        <w:t xml:space="preserve">est responsable adjointe du service Saint-Étienne Ville d’art et d’histoire et de la Maison du patrimoine et des lettres.</w:t>
      </w:r>
      <w:r>
        <w:rPr>
          <w:color w:val="000000"/>
        </w:rPr>
      </w:r>
    </w:p>
    <w:p>
      <w:pPr>
        <w:pBdr/>
        <w:spacing w:after="0"/>
        <w:ind/>
        <w:jc w:val="both"/>
        <w:rPr/>
      </w:pP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16"/>
        </w:rPr>
        <w:br/>
      </w:r>
      <w:r>
        <w:rPr>
          <w:color w:val="000000"/>
        </w:rPr>
        <w:t xml:space="preserve">Autrice et illustratrice de livr</w:t>
      </w:r>
      <w:r>
        <w:rPr>
          <w:color w:val="000000"/>
        </w:rPr>
        <w:t xml:space="preserve">es pour la jeunesse depuis 25 ans, </w:t>
      </w:r>
      <w:r>
        <w:rPr>
          <w:b/>
          <w:color w:val="000000"/>
        </w:rPr>
        <w:t xml:space="preserve">Véronique </w:t>
      </w:r>
      <w:r>
        <w:rPr>
          <w:b/>
          <w:color w:val="000000"/>
        </w:rPr>
        <w:t xml:space="preserve">Vernette</w:t>
      </w:r>
      <w:r>
        <w:rPr>
          <w:color w:val="000000"/>
        </w:rPr>
        <w:t xml:space="preserve"> séjourne régulièrement au Burkina Faso, où elle accumule dessins, photos, contes enregistrés, tissus bariolés et rencontres variées. Elle fabrique ensuite des albums pour les enfants qui montrent les pe</w:t>
      </w:r>
      <w:r>
        <w:rPr>
          <w:color w:val="000000"/>
        </w:rPr>
        <w:t xml:space="preserve">tits riens qui font la richesse du quotidien dans une Afrique urbaine contemporaine. Elle dessine pour l’édition jeunesse mais aussi pour des affiches, cartes postales, décors pour spectacle vivant, déco pour la maison… Elle aime aussi partager avec les en</w:t>
      </w:r>
      <w:r>
        <w:rPr>
          <w:color w:val="000000"/>
        </w:rPr>
        <w:t xml:space="preserve">fants le plaisir de dessiner, peindre, imaginer, créer, que ce soit dans son atelier stéphanois </w:t>
      </w:r>
      <w:r>
        <w:rPr>
          <w:i/>
          <w:color w:val="000000"/>
        </w:rPr>
        <w:t xml:space="preserve">Le Local</w:t>
      </w:r>
      <w:r>
        <w:rPr>
          <w:color w:val="000000"/>
        </w:rPr>
        <w:t xml:space="preserve">, dans des écoles un peu partout en France ou lors de ses déplacements sur le continent africain.</w:t>
      </w:r>
      <w:r/>
    </w:p>
    <w:p>
      <w:pPr>
        <w:pBdr>
          <w:top w:val="none" w:color="000000" w:sz="4" w:space="0"/>
          <w:left w:val="none" w:color="000000" w:sz="4" w:space="0"/>
          <w:bottom w:val="none" w:color="000000" w:sz="4" w:space="0"/>
          <w:right w:val="none" w:color="000000" w:sz="4" w:space="0"/>
        </w:pBdr>
        <w:spacing w:after="0"/>
        <w:ind/>
        <w:jc w:val="both"/>
        <w:rPr/>
      </w:pPr>
      <w:r/>
      <w:hyperlink r:id="rId38" w:tooltip="https://www.veronique-vernette-illustration.com/" w:history="1">
        <w:r>
          <w:rPr>
            <w:rStyle w:val="1085"/>
          </w:rPr>
          <w:t xml:space="preserve">https</w:t>
        </w:r>
        <w:r>
          <w:rPr>
            <w:rStyle w:val="1085"/>
          </w:rPr>
          <w:t xml:space="preserve"> ://www.veronique-vernette-illustration.com/</w:t>
        </w:r>
      </w:hyperlink>
      <w:r/>
      <w:r/>
    </w:p>
    <w:p>
      <w:pPr>
        <w:pBdr>
          <w:top w:val="none" w:color="000000" w:sz="4" w:space="0"/>
          <w:left w:val="none" w:color="000000" w:sz="4" w:space="0"/>
          <w:bottom w:val="none" w:color="000000" w:sz="4" w:space="0"/>
          <w:right w:val="none" w:color="000000" w:sz="4" w:space="0"/>
        </w:pBdr>
        <w:tabs>
          <w:tab w:val="left" w:leader="none" w:pos="9724"/>
        </w:tabs>
        <w:spacing/>
        <w:ind w:right="567"/>
        <w:jc w:val="both"/>
        <w:rPr>
          <w:color w:val="000000"/>
        </w:rPr>
      </w:pPr>
      <w:r>
        <w:rPr>
          <w:color w:val="000000"/>
        </w:rPr>
      </w:r>
      <w:r>
        <w:rPr>
          <w:color w:val="000000"/>
        </w:rPr>
      </w:r>
    </w:p>
    <w:p>
      <w:pPr>
        <w:pBdr>
          <w:top w:val="none" w:color="000000" w:sz="4" w:space="0"/>
          <w:left w:val="none" w:color="000000" w:sz="4" w:space="0"/>
          <w:bottom w:val="none" w:color="000000" w:sz="4" w:space="0"/>
          <w:right w:val="none" w:color="000000" w:sz="4" w:space="0"/>
        </w:pBdr>
        <w:tabs>
          <w:tab w:val="left" w:leader="none" w:pos="9724"/>
        </w:tabs>
        <w:spacing/>
        <w:ind w:right="567"/>
        <w:jc w:val="both"/>
        <w:rPr>
          <w:color w:val="000000"/>
        </w:rPr>
      </w:pPr>
      <w:r>
        <mc:AlternateContent>
          <mc:Choice Requires="wpg">
            <w:drawing>
              <wp:anchor xmlns:wp="http://schemas.openxmlformats.org/drawingml/2006/wordprocessingDrawing" xmlns:wp14="http://schemas.microsoft.com/office/word/2010/wordprocessingDrawing" distT="0" distB="0" distL="114300" distR="114300" simplePos="0" relativeHeight="251670528" behindDoc="1" locked="0" layoutInCell="1" allowOverlap="1">
                <wp:simplePos x="0" y="0"/>
                <wp:positionH relativeFrom="margin">
                  <wp:posOffset>3898900</wp:posOffset>
                </wp:positionH>
                <wp:positionV relativeFrom="paragraph">
                  <wp:posOffset>10795</wp:posOffset>
                </wp:positionV>
                <wp:extent cx="1539240" cy="1539240"/>
                <wp:effectExtent l="0" t="0" r="3810" b="3810"/>
                <wp:wrapThrough wrapText="bothSides">
                  <wp:wrapPolygon edited="1">
                    <wp:start x="0" y="0"/>
                    <wp:lineTo x="0" y="21386"/>
                    <wp:lineTo x="21386" y="21386"/>
                    <wp:lineTo x="21386" y="0"/>
                    <wp:lineTo x="0" y="0"/>
                  </wp:wrapPolygon>
                </wp:wrapThrough>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92053" name="Image 1803692053"/>
                        <pic:cNvPicPr>
                          <a:picLocks noChangeAspect="1"/>
                        </pic:cNvPicPr>
                        <pic:nvPr/>
                      </pic:nvPicPr>
                      <pic:blipFill>
                        <a:blip r:embed="rId39"/>
                        <a:stretch/>
                      </pic:blipFill>
                      <pic:spPr bwMode="auto">
                        <a:xfrm>
                          <a:off x="0" y="0"/>
                          <a:ext cx="1539240" cy="153924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70528;o:allowoverlap:true;o:allowincell:true;mso-position-horizontal-relative:margin;margin-left:307.00pt;mso-position-horizontal:absolute;mso-position-vertical-relative:text;margin-top:0.85pt;mso-position-vertical:absolute;width:121.20pt;height:121.20pt;mso-wrap-distance-left:9.00pt;mso-wrap-distance-top:0.00pt;mso-wrap-distance-right:9.00pt;mso-wrap-distance-bottom:0.00pt;z-index:1;" wrapcoords="0 0 0 99009 99009 99009 99009 0 0 0" stroked="false">
                <w10:wrap type="through"/>
                <v:imagedata r:id="rId39" o:title=""/>
                <o:lock v:ext="edit" rotation="t"/>
              </v:shape>
            </w:pict>
          </mc:Fallback>
        </mc:AlternateContent>
      </w:r>
      <w:r>
        <w:rPr>
          <w:b/>
          <w:bCs/>
          <w:color w:val="000000"/>
        </w:rPr>
        <w:t xml:space="preserve">Arihana</w:t>
      </w:r>
      <w:r>
        <w:rPr>
          <w:b/>
          <w:bCs/>
          <w:color w:val="000000"/>
        </w:rPr>
        <w:t xml:space="preserve"> </w:t>
      </w:r>
      <w:r>
        <w:rPr>
          <w:b/>
          <w:bCs/>
          <w:color w:val="000000"/>
        </w:rPr>
        <w:t xml:space="preserve">Villamil</w:t>
      </w:r>
      <w:r>
        <w:rPr>
          <w:color w:val="000000"/>
        </w:rPr>
        <w:t xml:space="preserve"> est doctorante en anthropologie (Centre Georg Simmel-EHESS). Dans ses travaux elle s’intéresse aux pratiques artistiques e</w:t>
      </w:r>
      <w:r>
        <w:rPr>
          <w:color w:val="000000"/>
        </w:rPr>
        <w:t xml:space="preserve">n contexte de marginalisation sociale et culturelle et aux projets qui unissent les pratiques expressives à l’action sociale, en Colombie et en France. Depuis 2019, </w:t>
      </w:r>
      <w:r>
        <w:rPr>
          <w:color w:val="000000"/>
        </w:rPr>
        <w:t xml:space="preserve">Arihana</w:t>
      </w:r>
      <w:r>
        <w:rPr>
          <w:color w:val="000000"/>
        </w:rPr>
        <w:t xml:space="preserve"> développe une activité de consultante et observatrice extérieure pour des instituti</w:t>
      </w:r>
      <w:r>
        <w:rPr>
          <w:color w:val="000000"/>
        </w:rPr>
        <w:t xml:space="preserve">ons culturelles œuvrant dans le social (Opéra de Lyon, Villes de musiques du monde, Festival </w:t>
      </w:r>
      <w:r>
        <w:rPr>
          <w:color w:val="000000"/>
        </w:rPr>
        <w:t xml:space="preserve">d’automne,…</w:t>
      </w:r>
      <w:r>
        <w:rPr>
          <w:color w:val="000000"/>
        </w:rPr>
        <w:t xml:space="preserve">). Elle a publié un chapitre dans le livre coordonné par Véronique </w:t>
      </w:r>
      <w:r>
        <w:rPr>
          <w:color w:val="000000"/>
        </w:rPr>
        <w:t xml:space="preserve">Béneï</w:t>
      </w:r>
      <w:r>
        <w:rPr>
          <w:color w:val="000000"/>
        </w:rPr>
        <w:t xml:space="preserve">, </w:t>
      </w:r>
      <w:r>
        <w:rPr>
          <w:i/>
          <w:iCs/>
          <w:color w:val="000000"/>
        </w:rPr>
        <w:t xml:space="preserve">Artistes et anthropologues dans la cité, Engagements, </w:t>
      </w:r>
      <w:r>
        <w:rPr>
          <w:i/>
          <w:iCs/>
          <w:color w:val="000000"/>
        </w:rPr>
        <w:t xml:space="preserve">Co-créations</w:t>
      </w:r>
      <w:r>
        <w:rPr>
          <w:i/>
          <w:iCs/>
          <w:color w:val="000000"/>
        </w:rPr>
        <w:t xml:space="preserve">, Parcours</w:t>
      </w:r>
      <w:r>
        <w:rPr>
          <w:color w:val="000000"/>
        </w:rPr>
        <w:t xml:space="preserve"> (</w:t>
      </w:r>
      <w:r>
        <w:rPr>
          <w:color w:val="000000"/>
        </w:rPr>
        <w:t xml:space="preserve">2019), portant sur l’insertion du médium audiovisuel sur le terrain et les enjeux de la production scientifique contemporaine. Elle a également </w:t>
      </w:r>
      <w:r>
        <w:rPr>
          <w:color w:val="000000"/>
        </w:rPr>
        <w:t xml:space="preserve">co-animé</w:t>
      </w:r>
      <w:r>
        <w:rPr>
          <w:color w:val="000000"/>
        </w:rPr>
        <w:t xml:space="preserve"> le séminaire « Musiciens, anthropologues et opérateurs culturels : recherche, dialogue et engagement da</w:t>
      </w:r>
      <w:r>
        <w:rPr>
          <w:color w:val="000000"/>
        </w:rPr>
        <w:t xml:space="preserve">ns la cité contemporaine » tenu à l’EHESS en 2018-2019.</w:t>
      </w:r>
      <w:r>
        <w:rPr>
          <w:color w:val="000000"/>
        </w:rPr>
      </w:r>
    </w:p>
    <w:p>
      <w:pPr>
        <w:pBdr/>
        <w:spacing/>
        <w:ind/>
        <w:jc w:val="both"/>
        <w:rPr>
          <w:b/>
          <w:bCs/>
          <w:sz w:val="28"/>
          <w:szCs w:val="28"/>
        </w:rPr>
      </w:pPr>
      <w:r>
        <w:rPr>
          <w:b/>
          <w:bCs/>
          <w:sz w:val="28"/>
          <w:szCs w:val="28"/>
        </w:rPr>
      </w:r>
      <w:r>
        <w:rPr>
          <w:b/>
          <w:bCs/>
          <w:sz w:val="28"/>
          <w:szCs w:val="28"/>
        </w:rPr>
      </w:r>
    </w:p>
    <w:p>
      <w:pPr>
        <w:pBdr/>
        <w:spacing/>
        <w:ind/>
        <w:jc w:val="both"/>
        <w:rPr/>
      </w:pPr>
      <w:r>
        <w:rPr>
          <w:b/>
          <w:bCs/>
        </w:rPr>
        <w:t xml:space="preserve">Marine Wisniewski </w:t>
      </w:r>
      <w:r>
        <w:t xml:space="preserve">est maîtresse de conférences à l’université de Lyon 2, membre du laboratoire IHRIM. Elle est spécialiste de théâtre et des spectacles populaires.</w:t>
      </w:r>
      <w:r/>
    </w:p>
    <w:p>
      <w:pPr>
        <w:pBdr/>
        <w:spacing w:after="160"/>
        <w:ind/>
        <w:rPr>
          <w:b/>
          <w:bCs/>
          <w:sz w:val="28"/>
          <w:szCs w:val="28"/>
        </w:rPr>
      </w:pPr>
      <w:r>
        <w:rPr>
          <w:b/>
          <w:bCs/>
          <w:sz w:val="28"/>
          <w:szCs w:val="28"/>
        </w:rPr>
        <w:br w:type="page" w:clear="all"/>
      </w:r>
      <w:r>
        <w:rPr>
          <w:b/>
          <w:bCs/>
          <w:sz w:val="28"/>
          <w:szCs w:val="28"/>
        </w:rPr>
        <w:t xml:space="preserve">Modalités d’évaluation</w:t>
      </w:r>
      <w:r>
        <w:rPr>
          <w:b/>
          <w:bCs/>
          <w:sz w:val="28"/>
          <w:szCs w:val="28"/>
        </w:rPr>
      </w:r>
    </w:p>
    <w:p>
      <w:pPr>
        <w:pBdr/>
        <w:spacing/>
        <w:ind/>
        <w:jc w:val="center"/>
        <w:rPr>
          <w:b/>
          <w:bCs/>
          <w:sz w:val="28"/>
          <w:szCs w:val="28"/>
        </w:rPr>
      </w:pPr>
      <w:r>
        <w:rPr>
          <w:b/>
          <w:bCs/>
          <w:sz w:val="28"/>
          <w:szCs w:val="28"/>
        </w:rPr>
      </w:r>
      <w:r>
        <w:rPr>
          <w:b/>
          <w:bCs/>
          <w:sz w:val="28"/>
          <w:szCs w:val="28"/>
        </w:rPr>
      </w:r>
    </w:p>
    <w:p>
      <w:pPr>
        <w:pBdr>
          <w:top w:val="none" w:color="000000" w:sz="4" w:space="0"/>
          <w:left w:val="none" w:color="000000" w:sz="4" w:space="0"/>
          <w:bottom w:val="none" w:color="000000" w:sz="4" w:space="0"/>
          <w:right w:val="none" w:color="000000" w:sz="4" w:space="0"/>
        </w:pBdr>
        <w:spacing w:after="0" w:line="253" w:lineRule="atLeast"/>
        <w:ind/>
        <w:jc w:val="both"/>
        <w:rPr>
          <w:color w:val="000000"/>
        </w:rPr>
      </w:pPr>
      <w:r>
        <w:rPr>
          <w:color w:val="000000"/>
        </w:rPr>
        <w:t xml:space="preserve">Les étudiant.es devront produire trois dossiers, correspondant soit à une synthèse critique, soit à un compte rendu, soit à la formulation d’un projet de création et/ou de médiation, soit à une restitution orale. Chaque </w:t>
      </w:r>
      <w:r>
        <w:rPr>
          <w:color w:val="000000"/>
        </w:rPr>
        <w:t xml:space="preserve">enseignant.e</w:t>
      </w:r>
      <w:r>
        <w:rPr>
          <w:color w:val="000000"/>
        </w:rPr>
        <w:t xml:space="preserve"> communiquera aux étudia</w:t>
      </w:r>
      <w:r>
        <w:rPr>
          <w:color w:val="000000"/>
        </w:rPr>
        <w:t xml:space="preserve">nt.es ses modalités d’évaluation lors de la première séance. </w:t>
      </w:r>
      <w:r>
        <w:rPr>
          <w:color w:val="000000"/>
        </w:rPr>
      </w:r>
    </w:p>
    <w:p>
      <w:pPr>
        <w:pBdr>
          <w:top w:val="none" w:color="000000" w:sz="4" w:space="0"/>
          <w:left w:val="none" w:color="000000" w:sz="4" w:space="0"/>
          <w:bottom w:val="none" w:color="000000" w:sz="4" w:space="0"/>
          <w:right w:val="none" w:color="000000" w:sz="4" w:space="0"/>
        </w:pBdr>
        <w:spacing w:after="0" w:line="253" w:lineRule="atLeast"/>
        <w:ind/>
        <w:jc w:val="both"/>
        <w:rPr>
          <w:color w:val="000000"/>
        </w:rPr>
      </w:pPr>
      <w:r>
        <w:rPr>
          <w:color w:val="000000"/>
        </w:rPr>
      </w:r>
      <w:r>
        <w:rPr>
          <w:color w:val="000000"/>
        </w:rPr>
      </w:r>
    </w:p>
    <w:p>
      <w:pPr>
        <w:pBdr>
          <w:top w:val="none" w:color="000000" w:sz="4" w:space="0"/>
          <w:left w:val="none" w:color="000000" w:sz="4" w:space="0"/>
          <w:bottom w:val="none" w:color="000000" w:sz="4" w:space="0"/>
          <w:right w:val="none" w:color="000000" w:sz="4" w:space="0"/>
        </w:pBdr>
        <w:spacing w:after="0" w:line="253" w:lineRule="atLeast"/>
        <w:ind/>
        <w:jc w:val="both"/>
        <w:rPr>
          <w:color w:val="000000"/>
        </w:rPr>
      </w:pPr>
      <w:r>
        <w:rPr>
          <w:color w:val="000000"/>
        </w:rPr>
        <w:t xml:space="preserve">En fonction du profil de </w:t>
      </w:r>
      <w:r>
        <w:rPr>
          <w:color w:val="000000"/>
        </w:rPr>
        <w:t xml:space="preserve">l’</w:t>
      </w:r>
      <w:r>
        <w:rPr>
          <w:color w:val="000000"/>
        </w:rPr>
        <w:t xml:space="preserve">étudiant.e</w:t>
      </w:r>
      <w:r>
        <w:rPr>
          <w:color w:val="000000"/>
        </w:rPr>
        <w:t xml:space="preserve">,</w:t>
      </w:r>
      <w:r>
        <w:rPr>
          <w:color w:val="000000"/>
        </w:rPr>
      </w:r>
    </w:p>
    <w:p>
      <w:pPr>
        <w:numPr>
          <w:ilvl w:val="0"/>
          <w:numId w:val="27"/>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le</w:t>
      </w:r>
      <w:r>
        <w:rPr>
          <w:color w:val="000000"/>
        </w:rPr>
        <w:t xml:space="preserve"> dossier n° 1 (module transversal) portera au choix sur un des cours parmi :</w:t>
      </w:r>
      <w:r/>
    </w:p>
    <w:p>
      <w:pPr>
        <w:numPr>
          <w:ilvl w:val="1"/>
          <w:numId w:val="27"/>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Art et enfance : regard historique et épistémologique</w:t>
      </w:r>
      <w:r/>
    </w:p>
    <w:p>
      <w:pPr>
        <w:numPr>
          <w:ilvl w:val="1"/>
          <w:numId w:val="27"/>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Interculturalité et inclusion</w:t>
      </w:r>
      <w:r/>
    </w:p>
    <w:p>
      <w:pPr>
        <w:numPr>
          <w:ilvl w:val="1"/>
          <w:numId w:val="27"/>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Connaissance des publics (cours facultatif mais obligatoire pour celles et ceux qui choisiraient d’être évalué.es dans ce cours)</w:t>
      </w:r>
      <w:r/>
    </w:p>
    <w:p>
      <w:pPr>
        <w:numPr>
          <w:ilvl w:val="0"/>
          <w:numId w:val="28"/>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le</w:t>
      </w:r>
      <w:r>
        <w:rPr>
          <w:color w:val="000000"/>
        </w:rPr>
        <w:t xml:space="preserve"> dossier n° 2 (module pratique) s’appuiera au choix sur </w:t>
      </w:r>
      <w:r/>
    </w:p>
    <w:p>
      <w:pPr>
        <w:numPr>
          <w:ilvl w:val="1"/>
          <w:numId w:val="28"/>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le</w:t>
      </w:r>
      <w:r>
        <w:rPr>
          <w:color w:val="000000"/>
        </w:rPr>
        <w:t xml:space="preserve"> temps d’immersion à l’École de l’oralité</w:t>
      </w:r>
      <w:r/>
    </w:p>
    <w:p>
      <w:pPr>
        <w:numPr>
          <w:ilvl w:val="1"/>
          <w:numId w:val="28"/>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l’atelier</w:t>
      </w:r>
      <w:r>
        <w:rPr>
          <w:color w:val="000000"/>
        </w:rPr>
        <w:t xml:space="preserve"> collectif de création</w:t>
      </w:r>
      <w:r/>
    </w:p>
    <w:p>
      <w:pPr>
        <w:pBdr>
          <w:top w:val="none" w:color="000000" w:sz="4" w:space="0"/>
          <w:left w:val="none" w:color="000000" w:sz="4" w:space="0"/>
          <w:bottom w:val="none" w:color="000000" w:sz="4" w:space="0"/>
          <w:right w:val="none" w:color="000000" w:sz="4" w:space="0"/>
        </w:pBdr>
        <w:spacing w:after="0" w:line="253" w:lineRule="atLeast"/>
        <w:ind w:left="709"/>
        <w:jc w:val="both"/>
        <w:rPr>
          <w:bCs/>
          <w:i/>
        </w:rPr>
      </w:pPr>
      <w:r>
        <w:rPr>
          <w:i/>
          <w:iCs/>
          <w:color w:val="000000"/>
        </w:rPr>
        <w:t xml:space="preserve">Les rendus pourront être valorisés sur la plateforme de ressources de l’Institut ARTS. </w:t>
      </w:r>
      <w:r>
        <w:rPr>
          <w:bCs/>
          <w:i/>
        </w:rPr>
      </w:r>
    </w:p>
    <w:p>
      <w:pPr>
        <w:numPr>
          <w:ilvl w:val="0"/>
          <w:numId w:val="28"/>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le</w:t>
      </w:r>
      <w:r>
        <w:rPr>
          <w:color w:val="000000"/>
        </w:rPr>
        <w:t xml:space="preserve"> dossier n° 3 (module de spécialisation) portera au choix sur un des cours parmi :</w:t>
      </w:r>
      <w:r/>
    </w:p>
    <w:p>
      <w:pPr>
        <w:numPr>
          <w:ilvl w:val="1"/>
          <w:numId w:val="28"/>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Édition n</w:t>
      </w:r>
      <w:r>
        <w:rPr>
          <w:color w:val="000000"/>
        </w:rPr>
        <w:t xml:space="preserve">umérique et médiation (musique)</w:t>
      </w:r>
      <w:r/>
    </w:p>
    <w:p>
      <w:pPr>
        <w:numPr>
          <w:ilvl w:val="1"/>
          <w:numId w:val="28"/>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Écritures musicales et sonores pour le jeune public</w:t>
      </w:r>
      <w:r/>
    </w:p>
    <w:p>
      <w:pPr>
        <w:numPr>
          <w:ilvl w:val="1"/>
          <w:numId w:val="28"/>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Programmation jeune public (musique)</w:t>
      </w:r>
      <w:r/>
    </w:p>
    <w:p>
      <w:pPr>
        <w:numPr>
          <w:ilvl w:val="1"/>
          <w:numId w:val="28"/>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Médiation artistique et culturelle : l’exemple du jeune public – musique contemporaine </w:t>
      </w:r>
      <w:r/>
    </w:p>
    <w:p>
      <w:pPr>
        <w:numPr>
          <w:ilvl w:val="1"/>
          <w:numId w:val="28"/>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Médiation artistique et culturelle : l’exemple </w:t>
      </w:r>
      <w:r>
        <w:rPr>
          <w:color w:val="000000"/>
        </w:rPr>
        <w:t xml:space="preserve">du jeune public – art contemporain </w:t>
      </w:r>
      <w:r/>
    </w:p>
    <w:p>
      <w:pPr>
        <w:numPr>
          <w:ilvl w:val="1"/>
          <w:numId w:val="28"/>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Cinéma d'animation pour la jeunesse : Perspectives historiques et esthétiques </w:t>
      </w:r>
      <w:r>
        <w:rPr>
          <w:i/>
          <w:color w:val="000000"/>
        </w:rPr>
        <w:t xml:space="preserve">en lien avec</w:t>
      </w:r>
      <w:r>
        <w:rPr>
          <w:color w:val="000000"/>
        </w:rPr>
        <w:t xml:space="preserve"> Médiation avec le public scolaire à la cinémathèque municipale</w:t>
      </w:r>
      <w:r/>
    </w:p>
    <w:p>
      <w:pPr>
        <w:numPr>
          <w:ilvl w:val="1"/>
          <w:numId w:val="28"/>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Histoire du théâtre d’enfance et de jeunesse</w:t>
      </w:r>
      <w:r/>
    </w:p>
    <w:p>
      <w:pPr>
        <w:numPr>
          <w:ilvl w:val="1"/>
          <w:numId w:val="28"/>
        </w:numPr>
        <w:pBdr>
          <w:top w:val="none" w:color="000000" w:sz="4" w:space="0"/>
          <w:left w:val="none" w:color="000000" w:sz="4" w:space="0"/>
          <w:bottom w:val="none" w:color="000000" w:sz="4" w:space="0"/>
          <w:right w:val="none" w:color="000000" w:sz="4" w:space="0"/>
        </w:pBdr>
        <w:spacing w:after="0" w:line="253" w:lineRule="atLeast"/>
        <w:ind/>
        <w:jc w:val="both"/>
        <w:rPr/>
      </w:pPr>
      <w:r>
        <w:rPr>
          <w:color w:val="000000"/>
        </w:rPr>
        <w:t xml:space="preserve">Théâtre jeune public</w:t>
      </w:r>
      <w:r/>
    </w:p>
    <w:p>
      <w:pPr>
        <w:pBdr>
          <w:top w:val="none" w:color="000000" w:sz="4" w:space="0"/>
          <w:left w:val="none" w:color="000000" w:sz="4" w:space="0"/>
          <w:bottom w:val="none" w:color="000000" w:sz="4" w:space="0"/>
          <w:right w:val="none" w:color="000000" w:sz="4" w:space="0"/>
        </w:pBdr>
        <w:tabs>
          <w:tab w:val="left" w:leader="none" w:pos="3467"/>
        </w:tabs>
        <w:spacing w:after="0" w:line="253" w:lineRule="atLeast"/>
        <w:ind/>
        <w:jc w:val="both"/>
        <w:rPr/>
      </w:pPr>
      <w:r>
        <w:rPr>
          <w:color w:val="000000"/>
        </w:rPr>
        <w:tab/>
      </w:r>
      <w:r/>
    </w:p>
    <w:p>
      <w:pPr>
        <w:pBdr>
          <w:top w:val="none" w:color="000000" w:sz="4" w:space="0"/>
          <w:left w:val="none" w:color="000000" w:sz="4" w:space="0"/>
          <w:bottom w:val="none" w:color="000000" w:sz="4" w:space="0"/>
          <w:right w:val="none" w:color="000000" w:sz="4" w:space="0"/>
        </w:pBdr>
        <w:spacing w:after="0" w:line="253" w:lineRule="atLeast"/>
        <w:ind/>
        <w:jc w:val="both"/>
        <w:rPr/>
      </w:pPr>
      <w:r>
        <w:rPr>
          <w:color w:val="000000"/>
          <w:highlight w:val="white"/>
        </w:rPr>
        <w:t xml:space="preserve">Pour les étudiant.es de l’UJM en formation initiale dans le DU et inscrit.es également dans l’un des 4 parcours de masters avec lesquels le DU est mutualisé, la/les note/s attribuée/s dans le cadre du master et correspondant aux cours mutualisés avec le </w:t>
      </w:r>
      <w:r>
        <w:rPr>
          <w:color w:val="000000"/>
          <w:highlight w:val="white"/>
        </w:rPr>
        <w:t xml:space="preserve">DU sera/seront reportée/s pour la validation du </w:t>
      </w:r>
      <w:r>
        <w:rPr>
          <w:color w:val="000000"/>
          <w:highlight w:val="white"/>
        </w:rPr>
        <w:t xml:space="preserve">DU</w:t>
      </w:r>
      <w:r>
        <w:rPr>
          <w:color w:val="000000"/>
          <w:highlight w:val="white"/>
        </w:rPr>
        <w:t xml:space="preserve">. </w:t>
      </w:r>
      <w:r/>
    </w:p>
    <w:p>
      <w:pPr>
        <w:pBdr/>
        <w:spacing/>
        <w:ind/>
        <w:rPr>
          <w:b/>
          <w:bCs/>
        </w:rPr>
      </w:pPr>
      <w:r>
        <w:rPr>
          <w:color w:val="000000"/>
        </w:rPr>
        <w:t xml:space="preserve">Le ou la </w:t>
      </w:r>
      <w:r>
        <w:rPr>
          <w:color w:val="000000"/>
        </w:rPr>
        <w:t xml:space="preserve">candidat.e</w:t>
      </w:r>
      <w:r>
        <w:rPr>
          <w:color w:val="000000"/>
        </w:rPr>
        <w:t xml:space="preserve"> doit avoir obtenu la moyenne générale pour valider le DU.</w:t>
      </w:r>
      <w:r>
        <w:rPr>
          <w:b/>
          <w:bCs/>
        </w:rPr>
      </w:r>
    </w:p>
    <w:p>
      <w:pPr>
        <w:pBdr/>
        <w:spacing/>
        <w:ind/>
        <w:rPr>
          <w:b/>
        </w:rPr>
      </w:pPr>
      <w:r>
        <w:rPr>
          <w:b/>
        </w:rPr>
      </w:r>
      <w:r>
        <w:rPr>
          <w:b/>
        </w:rPr>
      </w:r>
    </w:p>
    <w:p>
      <w:pPr>
        <w:pBdr/>
        <w:spacing/>
        <w:ind/>
        <w:rPr>
          <w:b/>
          <w:bCs/>
        </w:rPr>
      </w:pPr>
      <w:r>
        <w:rPr>
          <w:b/>
        </w:rPr>
        <w:br w:type="page" w:clear="all"/>
      </w:r>
      <w:r>
        <w:rPr>
          <w:b/>
          <w:bCs/>
        </w:rPr>
      </w:r>
    </w:p>
    <w:p>
      <w:pPr>
        <w:pStyle w:val="892"/>
        <w:pBdr/>
        <w:spacing/>
        <w:ind/>
        <w:rPr>
          <w:rFonts w:cs="Barlow"/>
        </w:rPr>
      </w:pPr>
      <w:r/>
      <w:bookmarkStart w:id="76" w:name="_Toc177566484"/>
      <w:r>
        <w:rPr>
          <w:rFonts w:eastAsia="Barlow" w:cs="Barlow"/>
        </w:rPr>
        <w:t xml:space="preserve">Informations pratiques (calendrier, contacts, adresses)</w:t>
      </w:r>
      <w:bookmarkEnd w:id="76"/>
      <w:r/>
      <w:r>
        <w:rPr>
          <w:rFonts w:cs="Barlow"/>
        </w:rPr>
      </w:r>
    </w:p>
    <w:p>
      <w:pPr>
        <w:pBdr/>
        <w:spacing/>
        <w:ind/>
        <w:rPr>
          <w:b/>
          <w:bCs/>
        </w:rPr>
      </w:pPr>
      <w:r>
        <w:rPr>
          <w:b/>
          <w:bCs/>
        </w:rPr>
      </w:r>
      <w:r>
        <w:rPr>
          <w:b/>
          <w:bCs/>
        </w:rPr>
      </w:r>
    </w:p>
    <w:p>
      <w:pPr>
        <w:pBdr/>
        <w:spacing/>
        <w:ind/>
        <w:rPr>
          <w:b/>
          <w:bCs/>
        </w:rPr>
      </w:pPr>
      <w:r>
        <w:rPr>
          <w:b/>
        </w:rPr>
        <w:t xml:space="preserve">CALENDRIER</w:t>
      </w:r>
      <w:r>
        <w:rPr>
          <w:b/>
          <w:bCs/>
        </w:rPr>
      </w:r>
    </w:p>
    <w:p>
      <w:pPr>
        <w:pBdr/>
        <w:spacing/>
        <w:ind/>
        <w:rPr/>
      </w:pPr>
      <w:r/>
      <w:hyperlink r:id="rId40" w:tooltip="file:///C:/Users/vs12368h/Downloads/calendrier%20ALL%202024-25%20version%20public.pdf" w:history="1">
        <w:r>
          <w:rPr>
            <w:rStyle w:val="1085"/>
            <w:sz w:val="24"/>
          </w:rPr>
          <w:t xml:space="preserve">Consulter le calendrier de l’année universitaire 2025-26 </w:t>
        </w:r>
      </w:hyperlink>
      <w:r/>
      <w:r/>
    </w:p>
    <w:p>
      <w:pPr>
        <w:pBdr/>
        <w:spacing/>
        <w:ind/>
        <w:rPr>
          <w:b/>
          <w:bCs/>
        </w:rPr>
      </w:pPr>
      <w:r>
        <w:rPr>
          <w:b/>
        </w:rPr>
        <w:t xml:space="preserve">L’emploi du temps de la formation sera mis en ligne et actualisé régulièrement.</w:t>
      </w:r>
      <w:r>
        <w:rPr>
          <w:b/>
          <w:bCs/>
        </w:rPr>
      </w:r>
    </w:p>
    <w:p>
      <w:pPr>
        <w:pBdr/>
        <w:spacing/>
        <w:ind/>
        <w:rPr>
          <w:b/>
          <w:bCs/>
        </w:rPr>
      </w:pPr>
      <w:r>
        <w:rPr>
          <w:b/>
          <w:bCs/>
        </w:rPr>
      </w:r>
      <w:r>
        <w:rPr>
          <w:b/>
          <w:bCs/>
        </w:rPr>
      </w:r>
    </w:p>
    <w:p>
      <w:pPr>
        <w:pBdr/>
        <w:spacing/>
        <w:ind/>
        <w:rPr>
          <w:b/>
          <w:bCs/>
        </w:rPr>
      </w:pPr>
      <w:r>
        <w:rPr>
          <w:b/>
        </w:rPr>
        <w:t xml:space="preserve">ADRESSES UJM</w:t>
      </w:r>
      <w:r>
        <w:rPr>
          <w:b/>
          <w:bCs/>
        </w:rPr>
      </w:r>
    </w:p>
    <w:p>
      <w:pPr>
        <w:pBdr/>
        <w:spacing/>
        <w:ind/>
        <w:rPr>
          <w:color w:val="000000" w:themeColor="text1"/>
        </w:rPr>
      </w:pPr>
      <w:r>
        <w:rPr>
          <w:bCs/>
          <w:color w:val="000000" w:themeColor="text1"/>
        </w:rPr>
        <w:t xml:space="preserve">Faculté ALL</w:t>
      </w:r>
      <w:r>
        <w:rPr>
          <w:color w:val="000000" w:themeColor="text1"/>
        </w:rPr>
        <w:t xml:space="preserve"> - Site Papin - 21 rue Denis Papin - 42023 Saint-Étienne cedex 2</w:t>
      </w:r>
      <w:r>
        <w:rPr>
          <w:color w:val="000000" w:themeColor="text1"/>
        </w:rPr>
      </w:r>
    </w:p>
    <w:p>
      <w:pPr>
        <w:pBdr/>
        <w:spacing/>
        <w:ind/>
        <w:rPr>
          <w:bCs/>
          <w:color w:val="000000" w:themeColor="text1"/>
        </w:rPr>
      </w:pPr>
      <w:r>
        <w:rPr>
          <w:bCs/>
          <w:color w:val="000000" w:themeColor="text1"/>
        </w:rPr>
        <w:t xml:space="preserve">Faculté SHS -   33 Rue du Onze Novembre, 42000 Saint-Étienne</w:t>
      </w:r>
      <w:r>
        <w:rPr>
          <w:bCs/>
          <w:color w:val="000000" w:themeColor="text1"/>
        </w:rPr>
      </w:r>
    </w:p>
    <w:p>
      <w:pPr>
        <w:pBdr/>
        <w:spacing/>
        <w:ind/>
        <w:rPr>
          <w:b/>
        </w:rPr>
      </w:pPr>
      <w:r>
        <w:rPr>
          <w:b/>
        </w:rPr>
      </w:r>
      <w:r>
        <w:rPr>
          <w:b/>
        </w:rPr>
      </w:r>
    </w:p>
    <w:p>
      <w:pPr>
        <w:pBdr/>
        <w:spacing/>
        <w:ind/>
        <w:rPr>
          <w:b/>
        </w:rPr>
      </w:pPr>
      <w:r>
        <w:rPr>
          <w:b/>
        </w:rPr>
        <w:t xml:space="preserve">ADRESSES DE NOS PARTENAIRES IMPLIQUÉS DANS LA FORMATION</w:t>
      </w:r>
      <w:r>
        <w:rPr>
          <w:b/>
        </w:rPr>
      </w:r>
    </w:p>
    <w:p>
      <w:pPr>
        <w:pBdr/>
        <w:spacing/>
        <w:ind/>
        <w:rPr>
          <w:bCs/>
          <w:color w:val="000000" w:themeColor="text1"/>
        </w:rPr>
      </w:pPr>
      <w:r>
        <w:rPr>
          <w:bCs/>
          <w:color w:val="000000" w:themeColor="text1"/>
        </w:rPr>
        <w:t xml:space="preserve">Atelier Véronique </w:t>
      </w:r>
      <w:r>
        <w:rPr>
          <w:bCs/>
          <w:color w:val="000000" w:themeColor="text1"/>
        </w:rPr>
        <w:t xml:space="preserve">Vernette</w:t>
      </w:r>
      <w:r>
        <w:rPr>
          <w:bCs/>
          <w:color w:val="000000" w:themeColor="text1"/>
        </w:rPr>
        <w:t xml:space="preserve"> - Le Local, 38 Rue </w:t>
      </w:r>
      <w:r>
        <w:rPr>
          <w:bCs/>
          <w:color w:val="000000" w:themeColor="text1"/>
        </w:rPr>
        <w:t xml:space="preserve">Badouillère</w:t>
      </w:r>
      <w:r>
        <w:rPr>
          <w:bCs/>
          <w:color w:val="000000" w:themeColor="text1"/>
        </w:rPr>
        <w:t xml:space="preserve">, 42000 Saint-Étienne</w:t>
      </w:r>
      <w:r>
        <w:rPr>
          <w:bCs/>
          <w:color w:val="000000" w:themeColor="text1"/>
        </w:rPr>
      </w:r>
    </w:p>
    <w:p>
      <w:pPr>
        <w:pBdr/>
        <w:spacing/>
        <w:ind/>
        <w:rPr>
          <w:bCs/>
          <w:color w:val="000000" w:themeColor="text1"/>
        </w:rPr>
      </w:pPr>
      <w:r>
        <w:rPr>
          <w:iCs/>
          <w:color w:val="000000" w:themeColor="text1"/>
        </w:rPr>
        <w:t xml:space="preserve">Canopé</w:t>
      </w:r>
      <w:r>
        <w:rPr>
          <w:i/>
          <w:iCs/>
          <w:color w:val="000000" w:themeColor="text1"/>
        </w:rPr>
        <w:t xml:space="preserve"> - </w:t>
      </w:r>
      <w:r>
        <w:rPr>
          <w:color w:val="1c1c1c"/>
          <w:shd w:val="clear" w:color="auto" w:fill="ffffff"/>
        </w:rPr>
        <w:t xml:space="preserve">90 rue de la </w:t>
      </w:r>
      <w:r>
        <w:rPr>
          <w:color w:val="1c1c1c"/>
          <w:shd w:val="clear" w:color="auto" w:fill="ffffff"/>
        </w:rPr>
        <w:t xml:space="preserve">Richelandière</w:t>
      </w:r>
      <w:r>
        <w:rPr>
          <w:color w:val="1c1c1c"/>
          <w:shd w:val="clear" w:color="auto" w:fill="ffffff"/>
        </w:rPr>
        <w:t xml:space="preserve">, 42100 Saint-Étienne</w:t>
      </w:r>
      <w:r>
        <w:rPr>
          <w:bCs/>
          <w:color w:val="000000" w:themeColor="text1"/>
        </w:rPr>
      </w:r>
    </w:p>
    <w:p>
      <w:pPr>
        <w:pBdr/>
        <w:spacing/>
        <w:ind/>
        <w:rPr>
          <w:bCs/>
          <w:color w:val="000000" w:themeColor="text1"/>
        </w:rPr>
      </w:pPr>
      <w:r>
        <w:rPr>
          <w:bCs/>
          <w:color w:val="000000" w:themeColor="text1"/>
        </w:rPr>
        <w:t xml:space="preserve">Cinémathèque municipale - 20-24 Rue Jo </w:t>
      </w:r>
      <w:r>
        <w:rPr>
          <w:bCs/>
          <w:color w:val="000000" w:themeColor="text1"/>
        </w:rPr>
        <w:t xml:space="preserve">Gouttebarge</w:t>
      </w:r>
      <w:r>
        <w:rPr>
          <w:bCs/>
          <w:color w:val="000000" w:themeColor="text1"/>
        </w:rPr>
        <w:t xml:space="preserve">, 42000 Saint-Étienne</w:t>
      </w:r>
      <w:r>
        <w:rPr>
          <w:bCs/>
          <w:color w:val="000000" w:themeColor="text1"/>
        </w:rPr>
      </w:r>
    </w:p>
    <w:p>
      <w:pPr>
        <w:pBdr/>
        <w:spacing/>
        <w:ind/>
        <w:rPr>
          <w:bCs/>
          <w:color w:val="000000" w:themeColor="text1"/>
        </w:rPr>
      </w:pPr>
      <w:r>
        <w:rPr>
          <w:iCs/>
          <w:color w:val="000000" w:themeColor="text1"/>
        </w:rPr>
        <w:t xml:space="preserve">Cité du Design – 3 rue </w:t>
      </w:r>
      <w:r>
        <w:rPr>
          <w:iCs/>
          <w:color w:val="000000" w:themeColor="text1"/>
        </w:rPr>
        <w:t xml:space="preserve">Javelin</w:t>
      </w:r>
      <w:r>
        <w:rPr>
          <w:iCs/>
          <w:color w:val="000000" w:themeColor="text1"/>
        </w:rPr>
        <w:t xml:space="preserve"> Pagnon, 42000 Saint-Étienne</w:t>
      </w:r>
      <w:r>
        <w:rPr>
          <w:bCs/>
          <w:color w:val="000000" w:themeColor="text1"/>
        </w:rPr>
      </w:r>
    </w:p>
    <w:p>
      <w:pPr>
        <w:pBdr/>
        <w:spacing/>
        <w:ind/>
        <w:rPr>
          <w:color w:val="000000" w:themeColor="text1"/>
        </w:rPr>
      </w:pPr>
      <w:r>
        <w:rPr>
          <w:bCs/>
          <w:color w:val="000000" w:themeColor="text1"/>
        </w:rPr>
        <w:t xml:space="preserve">École de la Comédie</w:t>
      </w:r>
      <w:r>
        <w:rPr>
          <w:color w:val="000000" w:themeColor="text1"/>
        </w:rPr>
        <w:t xml:space="preserve"> - Place Jean Dasté - Saint-Étienne</w:t>
      </w:r>
      <w:r>
        <w:rPr>
          <w:color w:val="000000" w:themeColor="text1"/>
        </w:rPr>
      </w:r>
    </w:p>
    <w:p>
      <w:pPr>
        <w:pBdr/>
        <w:spacing/>
        <w:ind/>
        <w:rPr>
          <w:color w:val="000000" w:themeColor="text1"/>
        </w:rPr>
      </w:pPr>
      <w:r>
        <w:rPr>
          <w:bCs/>
          <w:iCs/>
          <w:color w:val="000000" w:themeColor="text1"/>
        </w:rPr>
        <w:t xml:space="preserve">École </w:t>
      </w:r>
      <w:r>
        <w:rPr>
          <w:iCs/>
          <w:color w:val="000000" w:themeColor="text1"/>
        </w:rPr>
        <w:t xml:space="preserve">de l’Oralité – 7 avenue Président Émile Loubet, 42000 Saint-Étienne</w:t>
      </w:r>
      <w:r>
        <w:rPr>
          <w:color w:val="000000" w:themeColor="text1"/>
        </w:rPr>
      </w:r>
    </w:p>
    <w:p>
      <w:pPr>
        <w:pBdr/>
        <w:spacing/>
        <w:ind/>
        <w:rPr>
          <w:bCs/>
          <w:color w:val="000000" w:themeColor="text1"/>
        </w:rPr>
      </w:pPr>
      <w:r>
        <w:rPr>
          <w:bCs/>
          <w:color w:val="000000" w:themeColor="text1"/>
        </w:rPr>
      </w:r>
      <w:r>
        <w:rPr>
          <w:bCs/>
          <w:color w:val="000000" w:themeColor="text1"/>
        </w:rPr>
      </w:r>
    </w:p>
    <w:p>
      <w:pPr>
        <w:pBdr/>
        <w:spacing w:before="240"/>
        <w:ind/>
        <w:rPr>
          <w:b/>
          <w:color w:val="000000" w:themeColor="text1"/>
        </w:rPr>
      </w:pPr>
      <w:r>
        <w:rPr>
          <w:b/>
        </w:rPr>
        <w:t xml:space="preserve">CONTACTS</w:t>
      </w:r>
      <w:r>
        <w:rPr>
          <w:b/>
          <w:color w:val="000000" w:themeColor="text1"/>
        </w:rPr>
      </w:r>
    </w:p>
    <w:p>
      <w:pPr>
        <w:pBdr/>
        <w:spacing w:after="0" w:line="480" w:lineRule="auto"/>
        <w:ind/>
        <w:rPr>
          <w:rFonts w:cs="BarlowSemiCondensed-Regular" w:eastAsiaTheme="minorHAnsi"/>
        </w:rPr>
      </w:pPr>
      <w:r>
        <w:rPr>
          <w:rFonts w:cs="BarlowSemiCondensed-SemiBold" w:eastAsiaTheme="minorHAnsi"/>
          <w:b/>
          <w:bCs/>
        </w:rPr>
        <w:t xml:space="preserve">Anne DAMON-GUILLOT, </w:t>
      </w:r>
      <w:r>
        <w:rPr>
          <w:rFonts w:cs="BarlowSemiCondensed-SemiBold" w:eastAsiaTheme="minorHAnsi"/>
          <w:bCs/>
        </w:rPr>
        <w:t xml:space="preserve">responsable pédagogique</w:t>
      </w:r>
      <w:r>
        <w:rPr>
          <w:rFonts w:cs="BarlowSemiCondensed-Regular" w:eastAsiaTheme="minorHAnsi"/>
        </w:rPr>
        <w:t xml:space="preserve"> : </w:t>
      </w:r>
      <w:hyperlink r:id="rId41" w:tooltip="mailto:anne.damon@univ-st-etienne.fr" w:history="1">
        <w:r>
          <w:rPr>
            <w:rStyle w:val="1085"/>
            <w:rFonts w:cs="BarlowSemiCondensed-Regular" w:eastAsiaTheme="minorHAnsi"/>
          </w:rPr>
          <w:t xml:space="preserve">anne.damon@univ-st-etienne.fr</w:t>
        </w:r>
      </w:hyperlink>
      <w:r>
        <w:rPr>
          <w:rFonts w:cs="BarlowSemiCondensed-Regular" w:eastAsiaTheme="minorHAnsi"/>
        </w:rPr>
        <w:t xml:space="preserve"> </w:t>
      </w:r>
      <w:r>
        <w:rPr>
          <w:rFonts w:cs="BarlowSemiCondensed-Regular" w:eastAsiaTheme="minorHAnsi"/>
        </w:rPr>
      </w:r>
    </w:p>
    <w:p>
      <w:pPr>
        <w:pBdr/>
        <w:spacing w:after="0" w:line="480" w:lineRule="auto"/>
        <w:ind/>
        <w:rPr>
          <w:rFonts w:cs="BarlowSemiCondensed-Regular" w:eastAsiaTheme="minorHAnsi"/>
        </w:rPr>
      </w:pPr>
      <w:r>
        <w:rPr>
          <w:color w:val="000000" w:themeColor="text1"/>
        </w:rPr>
        <w:t xml:space="preserve">É</w:t>
      </w:r>
      <w:r>
        <w:rPr>
          <w:rFonts w:cs="BarlowSemiCondensed-Regular" w:eastAsiaTheme="minorHAnsi"/>
        </w:rPr>
        <w:t xml:space="preserve">quipe administrative de l’Institut ARTS : </w:t>
      </w:r>
      <w:hyperlink r:id="rId42" w:tooltip="mailto:institut-arts@univ-st-etienne.fr" w:history="1">
        <w:r>
          <w:rPr>
            <w:rStyle w:val="1085"/>
            <w:rFonts w:cs="BarlowSemiCondensed-Regular" w:eastAsiaTheme="minorHAnsi"/>
          </w:rPr>
          <w:t xml:space="preserve">institut-arts@univ-st-etienne.fr</w:t>
        </w:r>
      </w:hyperlink>
      <w:r>
        <w:rPr>
          <w:rFonts w:cs="BarlowSemiCondensed-Regular" w:eastAsiaTheme="minorHAnsi"/>
        </w:rPr>
        <w:t xml:space="preserve"> </w:t>
      </w:r>
      <w:r>
        <w:rPr>
          <w:rFonts w:cs="BarlowSemiCondensed-Regular" w:eastAsiaTheme="minorHAnsi"/>
        </w:rPr>
      </w:r>
    </w:p>
    <w:p>
      <w:pPr>
        <w:pBdr/>
        <w:spacing w:after="0" w:line="480" w:lineRule="auto"/>
        <w:ind/>
        <w:rPr>
          <w:rFonts w:cs="BarlowSemiCondensed-Regular" w:eastAsiaTheme="minorHAnsi"/>
        </w:rPr>
      </w:pPr>
      <w:r>
        <w:rPr>
          <w:rFonts w:cs="BarlowSemiCondensed-Regular" w:eastAsiaTheme="minorHAnsi"/>
        </w:rPr>
        <w:t xml:space="preserve">Formation continue : </w:t>
      </w:r>
      <w:hyperlink r:id="rId43" w:tooltip="mailto:baptiste.monier@univ-st-etienne.fr" w:history="1">
        <w:r>
          <w:rPr>
            <w:rStyle w:val="1085"/>
            <w:rFonts w:cs="BarlowSemiCondensed-Regular" w:eastAsiaTheme="minorHAnsi"/>
          </w:rPr>
          <w:t xml:space="preserve">baptiste.monier@univ-st-etienne.fr</w:t>
        </w:r>
      </w:hyperlink>
      <w:r>
        <w:rPr>
          <w:rFonts w:cs="BarlowSemiCondensed-Regular" w:eastAsiaTheme="minorHAnsi"/>
        </w:rPr>
        <w:t xml:space="preserve"> </w:t>
      </w:r>
      <w:r>
        <w:rPr>
          <w:rFonts w:cs="BarlowSemiCondensed-Regular" w:eastAsiaTheme="minorHAnsi"/>
        </w:rPr>
      </w:r>
    </w:p>
    <w:p>
      <w:pPr>
        <w:pBdr/>
        <w:spacing w:after="0" w:line="240" w:lineRule="auto"/>
        <w:ind/>
        <w:rPr>
          <w:rStyle w:val="1085"/>
          <w:b/>
        </w:rPr>
      </w:pPr>
      <w:r>
        <w:rPr>
          <w:rFonts w:cs="Barlow-SemiBold" w:eastAsiaTheme="minorHAnsi"/>
          <w:b/>
          <w:bCs/>
        </w:rPr>
        <w:fldChar w:fldCharType="begin"/>
      </w:r>
      <w:r>
        <w:rPr>
          <w:rFonts w:cs="Barlow-SemiBold" w:eastAsiaTheme="minorHAnsi"/>
          <w:b/>
          <w:bCs/>
        </w:rPr>
        <w:instrText xml:space="preserve">HYPERLINK "https://arts.univ-st-etienne.fr/formations/duajp/" \o "https://arts.univ-st-etienne.fr/formations/formation-continue/"</w:instrText>
      </w:r>
      <w:r>
        <w:rPr>
          <w:rFonts w:cs="Barlow-SemiBold" w:eastAsiaTheme="minorHAnsi"/>
          <w:b/>
          <w:bCs/>
        </w:rPr>
        <w:fldChar w:fldCharType="separate"/>
      </w:r>
      <w:r>
        <w:rPr>
          <w:rStyle w:val="1085"/>
          <w:rFonts w:cs="Barlow-SemiBold" w:eastAsiaTheme="minorHAnsi"/>
          <w:b/>
          <w:bCs/>
        </w:rPr>
        <w:t xml:space="preserve">Page du diplôme sur le site de l’Institut ARTS </w:t>
      </w:r>
      <w:r>
        <w:rPr>
          <w:rStyle w:val="1085"/>
          <w:b/>
        </w:rPr>
      </w:r>
    </w:p>
    <w:p>
      <w:pPr>
        <w:pBdr/>
        <w:spacing w:after="0" w:line="240" w:lineRule="auto"/>
        <w:ind/>
        <w:rPr>
          <w:b/>
        </w:rPr>
      </w:pPr>
      <w:r>
        <w:rPr>
          <w:rFonts w:cs="Barlow-SemiBold" w:eastAsiaTheme="minorHAnsi"/>
          <w:b/>
          <w:bCs/>
        </w:rPr>
        <w:fldChar w:fldCharType="end"/>
      </w:r>
      <w:r>
        <w:rPr>
          <w:b/>
        </w:rPr>
      </w:r>
    </w:p>
    <w:p>
      <w:pPr>
        <w:pBdr/>
        <w:spacing/>
        <w:ind/>
        <w:rPr/>
      </w:pPr>
      <w:r/>
      <w:r/>
    </w:p>
    <w:p>
      <w:pPr>
        <w:pBdr/>
        <w:spacing/>
        <w:ind/>
        <w:rPr/>
      </w:pPr>
      <w:r/>
      <w:r/>
    </w:p>
    <w:sectPr>
      <w:headerReference w:type="default" r:id="rId9"/>
      <w:headerReference w:type="even" r:id="rId10"/>
      <w:headerReference w:type="first" r:id="rId11"/>
      <w:footerReference w:type="default" r:id="rId12"/>
      <w:footerReference w:type="even" r:id="rId13"/>
      <w:footerReference w:type="first" r:id="rId14"/>
      <w:footnotePr/>
      <w:endnotePr/>
      <w:type w:val="nextPage"/>
      <w:pgSz w:h="16838" w:orient="portrait" w:w="11906"/>
      <w:pgMar w:top="1417" w:right="1417" w:bottom="1417" w:left="1276" w:header="0" w:footer="132" w:gutter="0"/>
      <w:pgNumType w:start="0"/>
      <w:cols w:num="1" w:sep="0" w:space="708"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rlowSemiCondensed-Regular">
    <w:panose1 w:val="00000500000000000000"/>
  </w:font>
  <w:font w:name="BarlowSemiCondensed-SemiBold">
    <w:panose1 w:val="00000706000000000000"/>
  </w:font>
  <w:font w:name="Wingdings">
    <w:panose1 w:val="05010000000000000000"/>
  </w:font>
  <w:font w:name="Courier New">
    <w:panose1 w:val="02070309020205020404"/>
  </w:font>
  <w:font w:name="Symbol">
    <w:panose1 w:val="05010000000000000000"/>
  </w:font>
  <w:font w:name="Segoe UI">
    <w:panose1 w:val="020B0502040504020204"/>
  </w:font>
  <w:font w:name="Gotham Book">
    <w:panose1 w:val="02000503000000000000"/>
  </w:font>
  <w:font w:name="Aptos">
    <w:panose1 w:val="02000503000000000000"/>
  </w:font>
  <w:font w:name="Calibri">
    <w:panose1 w:val="020F0502020204030204"/>
  </w:font>
  <w:font w:name="Times New Roman">
    <w:panose1 w:val="02020603050405020304"/>
  </w:font>
  <w:font w:name="Barlow Light">
    <w:panose1 w:val="00000400000000000000"/>
  </w:font>
  <w:font w:name="Arial">
    <w:panose1 w:val="020B0604020202020204"/>
  </w:font>
  <w:font w:name="Barlow-SemiBold">
    <w:panose1 w:val="00000700000000000000"/>
  </w:font>
  <w:font w:name="Barlow">
    <w:panose1 w:val="00000500000000000000"/>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72"/>
      <w:pBdr/>
      <w:spacing/>
      <w:ind/>
      <w:jc w:val="right"/>
      <w:rPr/>
    </w:pPr>
    <w:r/>
    <w:r/>
  </w:p>
  <w:sdt>
    <w:sdtPr>
      <w15:appearance w15:val="boundingBox"/>
      <w:id w:val="1498696003"/>
      <w:docPartObj>
        <w:docPartGallery w:val="Page Numbers (Bottom of Page)"/>
        <w:docPartUnique w:val="true"/>
      </w:docPartObj>
      <w:rPr/>
    </w:sdtPr>
    <w:sdtContent>
      <w:p>
        <w:pPr>
          <w:pStyle w:val="1072"/>
          <w:pBdr/>
          <w:spacing/>
          <w:ind/>
          <w:jc w:val="right"/>
          <w:rPr/>
        </w:pPr>
        <w:r>
          <w:fldChar w:fldCharType="begin"/>
        </w:r>
        <w:r>
          <w:instrText xml:space="preserve">PAGE   \* MERGEFORMAT</w:instrText>
        </w:r>
        <w:r>
          <w:fldChar w:fldCharType="separate"/>
        </w:r>
        <w:r>
          <w:t xml:space="preserve">20</w:t>
        </w:r>
        <w:r>
          <w:fldChar w:fldCharType="end"/>
        </w:r>
        <w:r/>
      </w:p>
    </w:sdtContent>
  </w:sdt>
  <w:p>
    <w:pPr>
      <w:pStyle w:val="107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7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top w:val="none" w:color="000000" w:sz="4" w:space="0"/>
        <w:left w:val="none" w:color="000000" w:sz="4" w:space="0"/>
        <w:bottom w:val="none" w:color="000000" w:sz="4" w:space="0"/>
        <w:right w:val="none" w:color="000000" w:sz="4" w:space="0"/>
        <w:between w:val="none" w:color="000000" w:sz="4" w:space="0"/>
      </w:pBdr>
      <w:tabs>
        <w:tab w:val="center" w:leader="none" w:pos="4536"/>
        <w:tab w:val="right" w:leader="none" w:pos="9072"/>
      </w:tabs>
      <w:spacing w:line="240" w:lineRule="auto"/>
      <w:ind w:hanging="2"/>
      <w:jc w:val="center"/>
      <w:rPr/>
    </w:pPr>
    <w:r/>
    <w:sdt>
      <w:sdtPr>
        <w15:appearance w15:val="boundingBox"/>
        <w:id w:val="-1000430934"/>
        <w:tag w:val="goog_rdk_124"/>
        <w:rPr/>
      </w:sdtPr>
      <w:sdtContent>
        <w:sdt>
          <w:sdtPr>
            <w15:appearance w15:val="boundingBox"/>
            <w:id w:val="-1281646390"/>
            <w:tag w:val="goog_rdk_123"/>
            <w:rPr/>
          </w:sdtPr>
          <w:sdtContent>
            <w:r>
              <mc:AlternateContent>
                <mc:Choice Requires="wpg">
                  <w:drawing>
                    <wp:inline xmlns:wp="http://schemas.openxmlformats.org/drawingml/2006/wordprocessingDrawing" distT="0" distB="0" distL="0" distR="0">
                      <wp:extent cx="1430339" cy="540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1"/>
                              <a:stretch/>
                            </pic:blipFill>
                            <pic:spPr bwMode="auto">
                              <a:xfrm>
                                <a:off x="0" y="0"/>
                                <a:ext cx="1430339" cy="5400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12.63pt;height:42.52pt;mso-wrap-distance-left:0.00pt;mso-wrap-distance-top:0.00pt;mso-wrap-distance-right:0.00pt;mso-wrap-distance-bottom:0.00pt;z-index:1;">
                      <v:imagedata r:id="rId1" o:title=""/>
                      <o:lock v:ext="edit" rotation="t"/>
                    </v:shape>
                  </w:pict>
                </mc:Fallback>
              </mc:AlternateContent>
            </w:r>
            <w:r>
              <w:rPr>
                <w:color w:val="000000"/>
              </w:rPr>
              <w:t xml:space="preserve">          </w:t>
            </w:r>
            <w:r>
              <mc:AlternateContent>
                <mc:Choice Requires="wpg">
                  <w:drawing>
                    <wp:inline xmlns:wp="http://schemas.openxmlformats.org/drawingml/2006/wordprocessingDrawing" distT="0" distB="0" distL="0" distR="0">
                      <wp:extent cx="2107862" cy="5400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ic:nvPr/>
                            </pic:nvPicPr>
                            <pic:blipFill>
                              <a:blip r:embed="rId2"/>
                              <a:stretch/>
                            </pic:blipFill>
                            <pic:spPr bwMode="auto">
                              <a:xfrm>
                                <a:off x="0" y="0"/>
                                <a:ext cx="2107862" cy="5400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65.97pt;height:42.52pt;mso-wrap-distance-left:0.00pt;mso-wrap-distance-top:0.00pt;mso-wrap-distance-right:0.00pt;mso-wrap-distance-bottom:0.00pt;z-index:1;">
                      <v:imagedata r:id="rId2" o:title=""/>
                      <o:lock v:ext="edit" rotation="t"/>
                    </v:shape>
                  </w:pict>
                </mc:Fallback>
              </mc:AlternateContent>
            </w:r>
            <w:r>
              <w:rPr>
                <w:color w:val="000000"/>
              </w:rPr>
              <w:t xml:space="preserve">       </w:t>
            </w:r>
            <w:r>
              <mc:AlternateContent>
                <mc:Choice Requires="wpg">
                  <w:drawing>
                    <wp:inline xmlns:wp="http://schemas.openxmlformats.org/drawingml/2006/wordprocessingDrawing" distT="0" distB="0" distL="0" distR="0">
                      <wp:extent cx="550260" cy="5400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ic:nvPr/>
                            </pic:nvPicPr>
                            <pic:blipFill>
                              <a:blip r:embed="rId3"/>
                              <a:stretch/>
                            </pic:blipFill>
                            <pic:spPr bwMode="auto">
                              <a:xfrm>
                                <a:off x="0" y="0"/>
                                <a:ext cx="550260" cy="5400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33pt;height:42.52pt;mso-wrap-distance-left:0.00pt;mso-wrap-distance-top:0.00pt;mso-wrap-distance-right:0.00pt;mso-wrap-distance-bottom:0.00pt;z-index:1;">
                      <v:imagedata r:id="rId3" o:title=""/>
                      <o:lock v:ext="edit" rotation="t"/>
                    </v:shape>
                  </w:pict>
                </mc:Fallback>
              </mc:AlternateContent>
            </w:r>
          </w:sdtContent>
        </w:sdt>
      </w:sdtContent>
    </w:sd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70"/>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70"/>
      <w:pBdr/>
      <w:spacing/>
      <w:ind/>
      <w:rPr/>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70"/>
      <w:pBdr/>
      <w:tabs>
        <w:tab w:val="clear" w:leader="none" w:pos="4844"/>
        <w:tab w:val="left" w:leader="none" w:pos="5506"/>
        <w:tab w:val="clear" w:leader="none" w:pos="9689"/>
      </w:tabs>
      <w:spacing/>
      <w:ind/>
      <w:rPr/>
    </w:pPr>
    <w:r/>
    <w:r/>
  </w:p>
  <w:p>
    <w:pPr>
      <w:pStyle w:val="1070"/>
      <w:pBdr/>
      <w:tabs>
        <w:tab w:val="clear" w:leader="none" w:pos="4844"/>
        <w:tab w:val="left" w:leader="none" w:pos="5506"/>
        <w:tab w:val="clear" w:leader="none" w:pos="9689"/>
      </w:tabs>
      <w:spacing/>
      <w:ind/>
      <w:rPr/>
    </w:pPr>
    <w:r/>
    <w:r/>
  </w:p>
  <w:p>
    <w:pPr>
      <w:pStyle w:val="1070"/>
      <w:pBdr/>
      <w:tabs>
        <w:tab w:val="clear" w:leader="none" w:pos="4844"/>
        <w:tab w:val="left" w:leader="none" w:pos="5506"/>
        <w:tab w:val="clear" w:leader="none" w:pos="9689"/>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margin">
                <wp:posOffset>4993005</wp:posOffset>
              </wp:positionH>
              <wp:positionV relativeFrom="paragraph">
                <wp:posOffset>67310</wp:posOffset>
              </wp:positionV>
              <wp:extent cx="849630" cy="827405"/>
              <wp:effectExtent l="0" t="0" r="7620" b="0"/>
              <wp:wrapThrough wrapText="bothSides">
                <wp:wrapPolygon edited="1">
                  <wp:start x="0" y="0"/>
                  <wp:lineTo x="0" y="20887"/>
                  <wp:lineTo x="21309" y="20887"/>
                  <wp:lineTo x="21309" y="0"/>
                  <wp:lineTo x="0" y="0"/>
                </wp:wrapPolygon>
              </wp:wrapThrough>
              <wp:docPr id="1"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1"/>
                      <a:stretch/>
                    </pic:blipFill>
                    <pic:spPr bwMode="auto">
                      <a:xfrm>
                        <a:off x="0" y="0"/>
                        <a:ext cx="849630" cy="827405"/>
                      </a:xfrm>
                      <a:prstGeom prst="rect">
                        <a:avLst/>
                      </a:prstGeom>
                      <a:noFill/>
                      <a:ln>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8240;o:allowoverlap:true;o:allowincell:true;mso-position-horizontal-relative:margin;margin-left:393.15pt;mso-position-horizontal:absolute;mso-position-vertical-relative:text;margin-top:5.30pt;mso-position-vertical:absolute;width:66.90pt;height:65.15pt;mso-wrap-distance-left:9.00pt;mso-wrap-distance-top:0.00pt;mso-wrap-distance-right:9.00pt;mso-wrap-distance-bottom:0.00pt;z-index:1;" wrapcoords="0 0 0 96699 98653 96699 98653 0 0 0" stroked="f">
              <w10:wrap type="through"/>
              <v:imagedata r:id="rId1" o:title=""/>
              <o:lock v:ext="edit" rotation="t"/>
            </v:shape>
          </w:pict>
        </mc:Fallback>
      </mc:AlternateContent>
    </w:r>
    <w:r/>
  </w:p>
  <w:p>
    <w:pPr>
      <w:pStyle w:val="1070"/>
      <w:pBdr/>
      <w:tabs>
        <w:tab w:val="clear" w:leader="none" w:pos="4844"/>
        <w:tab w:val="left" w:leader="none" w:pos="5506"/>
        <w:tab w:val="clear" w:leader="none" w:pos="9689"/>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margin">
                <wp:posOffset>0</wp:posOffset>
              </wp:positionH>
              <wp:positionV relativeFrom="paragraph">
                <wp:posOffset>37465</wp:posOffset>
              </wp:positionV>
              <wp:extent cx="1062355" cy="539750"/>
              <wp:effectExtent l="0" t="0" r="4445" b="0"/>
              <wp:wrapNone/>
              <wp:docPr id="2"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2"/>
                      <a:stretch/>
                    </pic:blipFill>
                    <pic:spPr bwMode="auto">
                      <a:xfrm>
                        <a:off x="0" y="0"/>
                        <a:ext cx="1062355" cy="539750"/>
                      </a:xfrm>
                      <a:prstGeom prst="rect">
                        <a:avLst/>
                      </a:prstGeom>
                      <a:noFill/>
                      <a:ln>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59264;o:allowoverlap:true;o:allowincell:true;mso-position-horizontal-relative:margin;margin-left:0.00pt;mso-position-horizontal:absolute;mso-position-vertical-relative:text;margin-top:2.95pt;mso-position-vertical:absolute;width:83.65pt;height:42.50pt;mso-wrap-distance-left:9.00pt;mso-wrap-distance-top:0.00pt;mso-wrap-distance-right:9.00pt;mso-wrap-distance-bottom:0.00pt;z-index:1;" stroked="f">
              <v:imagedata r:id="rId2"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
      <w:numFmt w:val="bullet"/>
      <w:pPr>
        <w:pBdr/>
        <w:spacing/>
        <w:ind w:hanging="360" w:left="1440"/>
      </w:pPr>
      <w:rPr>
        <w:rFonts w:hint="default" w:ascii="Symbol" w:hAnsi="Symbol" w:eastAsia="Symbol" w:cs="Symbol"/>
      </w:rPr>
      <w:start w:val="1"/>
      <w:suff w:val="tab"/>
    </w:lvl>
    <w:lvl w:ilvl="2">
      <w:isLgl w:val="false"/>
      <w:lvlJc w:val="left"/>
      <w:lvlText w:val=""/>
      <w:numFmt w:val="bullet"/>
      <w:pPr>
        <w:pBdr/>
        <w:spacing/>
        <w:ind w:hanging="360" w:left="2160"/>
      </w:pPr>
      <w:rPr>
        <w:rFonts w:hint="default" w:ascii="Symbol" w:hAnsi="Symbol" w:eastAsia="Symbol" w:cs="Symbol"/>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
      <w:numFmt w:val="bullet"/>
      <w:pPr>
        <w:pBdr/>
        <w:spacing/>
        <w:ind w:hanging="360" w:left="3600"/>
      </w:pPr>
      <w:rPr>
        <w:rFonts w:hint="default" w:ascii="Symbol" w:hAnsi="Symbol" w:eastAsia="Symbol" w:cs="Symbol"/>
      </w:rPr>
      <w:start w:val="1"/>
      <w:suff w:val="tab"/>
    </w:lvl>
    <w:lvl w:ilvl="5">
      <w:isLgl w:val="false"/>
      <w:lvlJc w:val="left"/>
      <w:lvlText w:val=""/>
      <w:numFmt w:val="bullet"/>
      <w:pPr>
        <w:pBdr/>
        <w:spacing/>
        <w:ind w:hanging="360" w:left="4320"/>
      </w:pPr>
      <w:rPr>
        <w:rFonts w:hint="default" w:ascii="Symbol" w:hAnsi="Symbol" w:eastAsia="Symbol" w:cs="Symbol"/>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
      <w:numFmt w:val="bullet"/>
      <w:pPr>
        <w:pBdr/>
        <w:spacing/>
        <w:ind w:hanging="360" w:left="5760"/>
      </w:pPr>
      <w:rPr>
        <w:rFonts w:hint="default" w:ascii="Symbol" w:hAnsi="Symbol" w:eastAsia="Symbol" w:cs="Symbol"/>
      </w:rPr>
      <w:start w:val="1"/>
      <w:suff w:val="tab"/>
    </w:lvl>
    <w:lvl w:ilvl="8">
      <w:isLgl w:val="false"/>
      <w:lvlJc w:val="left"/>
      <w:lvlText w:val=""/>
      <w:numFmt w:val="bullet"/>
      <w:pPr>
        <w:pBdr/>
        <w:spacing/>
        <w:ind w:hanging="360" w:left="6480"/>
      </w:pPr>
      <w:rPr>
        <w:rFonts w:hint="default" w:ascii="Symbol" w:hAnsi="Symbol" w:eastAsia="Symbol" w:cs="Symbol"/>
      </w:rPr>
      <w:start w:val="1"/>
      <w:suff w:val="tab"/>
    </w:lvl>
  </w:abstractNum>
  <w:abstractNum w:abstractNumId="4">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
    <w:lvl w:ilvl="0">
      <w:isLgl w:val="false"/>
      <w:lvlJc w:val="left"/>
      <w:lvlText w:val="–"/>
      <w:numFmt w:val="bullet"/>
      <w:pPr>
        <w:pBdr/>
        <w:spacing/>
        <w:ind w:hanging="360" w:left="2149"/>
      </w:pPr>
      <w:rPr>
        <w:rFonts w:hint="default" w:ascii="Arial" w:hAnsi="Arial" w:eastAsia="Arial" w:cs="Arial"/>
      </w:rPr>
      <w:start w:val="1"/>
      <w:suff w:val="tab"/>
    </w:lvl>
    <w:lvl w:ilvl="1">
      <w:isLgl w:val="false"/>
      <w:lvlJc w:val="left"/>
      <w:lvlText w:val="o"/>
      <w:numFmt w:val="bullet"/>
      <w:pPr>
        <w:pBdr/>
        <w:spacing/>
        <w:ind w:hanging="360" w:left="2869"/>
      </w:pPr>
      <w:rPr>
        <w:rFonts w:hint="default" w:ascii="Courier New" w:hAnsi="Courier New" w:eastAsia="Courier New" w:cs="Courier New"/>
      </w:rPr>
      <w:start w:val="1"/>
      <w:suff w:val="tab"/>
    </w:lvl>
    <w:lvl w:ilvl="2">
      <w:isLgl w:val="false"/>
      <w:lvlJc w:val="left"/>
      <w:lvlText w:val="§"/>
      <w:numFmt w:val="bullet"/>
      <w:pPr>
        <w:pBdr/>
        <w:spacing/>
        <w:ind w:hanging="360" w:left="3589"/>
      </w:pPr>
      <w:rPr>
        <w:rFonts w:hint="default" w:ascii="Wingdings" w:hAnsi="Wingdings" w:eastAsia="Wingdings" w:cs="Wingdings"/>
      </w:rPr>
      <w:start w:val="1"/>
      <w:suff w:val="tab"/>
    </w:lvl>
    <w:lvl w:ilvl="3">
      <w:isLgl w:val="false"/>
      <w:lvlJc w:val="left"/>
      <w:lvlText w:val="·"/>
      <w:numFmt w:val="bullet"/>
      <w:pPr>
        <w:pBdr/>
        <w:spacing/>
        <w:ind w:hanging="360" w:left="4309"/>
      </w:pPr>
      <w:rPr>
        <w:rFonts w:hint="default" w:ascii="Symbol" w:hAnsi="Symbol" w:eastAsia="Symbol" w:cs="Symbol"/>
      </w:rPr>
      <w:start w:val="1"/>
      <w:suff w:val="tab"/>
    </w:lvl>
    <w:lvl w:ilvl="4">
      <w:isLgl w:val="false"/>
      <w:lvlJc w:val="left"/>
      <w:lvlText w:val="o"/>
      <w:numFmt w:val="bullet"/>
      <w:pPr>
        <w:pBdr/>
        <w:spacing/>
        <w:ind w:hanging="360" w:left="5029"/>
      </w:pPr>
      <w:rPr>
        <w:rFonts w:hint="default" w:ascii="Courier New" w:hAnsi="Courier New" w:eastAsia="Courier New" w:cs="Courier New"/>
      </w:rPr>
      <w:start w:val="1"/>
      <w:suff w:val="tab"/>
    </w:lvl>
    <w:lvl w:ilvl="5">
      <w:isLgl w:val="false"/>
      <w:lvlJc w:val="left"/>
      <w:lvlText w:val="§"/>
      <w:numFmt w:val="bullet"/>
      <w:pPr>
        <w:pBdr/>
        <w:spacing/>
        <w:ind w:hanging="360" w:left="5749"/>
      </w:pPr>
      <w:rPr>
        <w:rFonts w:hint="default" w:ascii="Wingdings" w:hAnsi="Wingdings" w:eastAsia="Wingdings" w:cs="Wingdings"/>
      </w:rPr>
      <w:start w:val="1"/>
      <w:suff w:val="tab"/>
    </w:lvl>
    <w:lvl w:ilvl="6">
      <w:isLgl w:val="false"/>
      <w:lvlJc w:val="left"/>
      <w:lvlText w:val="·"/>
      <w:numFmt w:val="bullet"/>
      <w:pPr>
        <w:pBdr/>
        <w:spacing/>
        <w:ind w:hanging="360" w:left="6469"/>
      </w:pPr>
      <w:rPr>
        <w:rFonts w:hint="default" w:ascii="Symbol" w:hAnsi="Symbol" w:eastAsia="Symbol" w:cs="Symbol"/>
      </w:rPr>
      <w:start w:val="1"/>
      <w:suff w:val="tab"/>
    </w:lvl>
    <w:lvl w:ilvl="7">
      <w:isLgl w:val="false"/>
      <w:lvlJc w:val="left"/>
      <w:lvlText w:val="o"/>
      <w:numFmt w:val="bullet"/>
      <w:pPr>
        <w:pBdr/>
        <w:spacing/>
        <w:ind w:hanging="360" w:left="7189"/>
      </w:pPr>
      <w:rPr>
        <w:rFonts w:hint="default" w:ascii="Courier New" w:hAnsi="Courier New" w:eastAsia="Courier New" w:cs="Courier New"/>
      </w:rPr>
      <w:start w:val="1"/>
      <w:suff w:val="tab"/>
    </w:lvl>
    <w:lvl w:ilvl="8">
      <w:isLgl w:val="false"/>
      <w:lvlJc w:val="left"/>
      <w:lvlText w:val="§"/>
      <w:numFmt w:val="bullet"/>
      <w:pPr>
        <w:pBdr/>
        <w:spacing/>
        <w:ind w:hanging="360" w:left="7909"/>
      </w:pPr>
      <w:rPr>
        <w:rFonts w:hint="default" w:ascii="Wingdings" w:hAnsi="Wingdings" w:eastAsia="Wingdings" w:cs="Wingdings"/>
      </w:rPr>
      <w:start w:val="1"/>
      <w:suff w:val="tab"/>
    </w:lvl>
  </w:abstractNum>
  <w:abstractNum w:abstractNumId="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9">
    <w:lvl w:ilvl="0">
      <w:isLgl w:val="false"/>
      <w:lvlJc w:val="left"/>
      <w:lvlText w:val="-"/>
      <w:numFmt w:val="bullet"/>
      <w:pPr>
        <w:pBdr/>
        <w:spacing/>
        <w:ind w:hanging="360" w:left="720"/>
      </w:pPr>
      <w:rPr>
        <w:rFonts w:hint="default" w:ascii="Times New Roman" w:hAnsi="Times New Roman" w:eastAsia="Times New Roman" w:cs="Times New Roman"/>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2">
    <w:lvl w:ilvl="0">
      <w:isLgl w:val="false"/>
      <w:lvlJc w:val="left"/>
      <w:lvlText w:val="-"/>
      <w:numFmt w:val="bullet"/>
      <w:pPr>
        <w:pBdr/>
        <w:spacing/>
        <w:ind w:hanging="107" w:left="4251"/>
      </w:pPr>
      <w:rPr>
        <w:rFonts w:hint="default" w:ascii="Barlow" w:hAnsi="Barlow" w:eastAsia="Barlow" w:cs="Barlow"/>
        <w:b w:val="0"/>
        <w:bCs w:val="0"/>
        <w:i w:val="0"/>
        <w:iCs w:val="0"/>
        <w:spacing w:val="0"/>
        <w:sz w:val="18"/>
        <w:szCs w:val="18"/>
        <w:lang w:val="fr-FR" w:eastAsia="en-US" w:bidi="ar-SA"/>
      </w:rPr>
      <w:start w:val="0"/>
      <w:suff w:val="tab"/>
    </w:lvl>
    <w:lvl w:ilvl="1">
      <w:isLgl w:val="false"/>
      <w:lvlJc w:val="left"/>
      <w:lvlText w:val="•"/>
      <w:numFmt w:val="bullet"/>
      <w:pPr>
        <w:pBdr/>
        <w:spacing/>
        <w:ind w:hanging="107" w:left="4588"/>
      </w:pPr>
      <w:rPr>
        <w:rFonts w:hint="default"/>
        <w:lang w:val="fr-FR" w:eastAsia="en-US" w:bidi="ar-SA"/>
      </w:rPr>
      <w:start w:val="0"/>
      <w:suff w:val="tab"/>
    </w:lvl>
    <w:lvl w:ilvl="2">
      <w:isLgl w:val="false"/>
      <w:lvlJc w:val="left"/>
      <w:lvlText w:val="•"/>
      <w:numFmt w:val="bullet"/>
      <w:pPr>
        <w:pBdr/>
        <w:spacing/>
        <w:ind w:hanging="107" w:left="4916"/>
      </w:pPr>
      <w:rPr>
        <w:rFonts w:hint="default"/>
        <w:lang w:val="fr-FR" w:eastAsia="en-US" w:bidi="ar-SA"/>
      </w:rPr>
      <w:start w:val="0"/>
      <w:suff w:val="tab"/>
    </w:lvl>
    <w:lvl w:ilvl="3">
      <w:isLgl w:val="false"/>
      <w:lvlJc w:val="left"/>
      <w:lvlText w:val="•"/>
      <w:numFmt w:val="bullet"/>
      <w:pPr>
        <w:pBdr/>
        <w:spacing/>
        <w:ind w:hanging="107" w:left="5244"/>
      </w:pPr>
      <w:rPr>
        <w:rFonts w:hint="default"/>
        <w:lang w:val="fr-FR" w:eastAsia="en-US" w:bidi="ar-SA"/>
      </w:rPr>
      <w:start w:val="0"/>
      <w:suff w:val="tab"/>
    </w:lvl>
    <w:lvl w:ilvl="4">
      <w:isLgl w:val="false"/>
      <w:lvlJc w:val="left"/>
      <w:lvlText w:val="•"/>
      <w:numFmt w:val="bullet"/>
      <w:pPr>
        <w:pBdr/>
        <w:spacing/>
        <w:ind w:hanging="107" w:left="5572"/>
      </w:pPr>
      <w:rPr>
        <w:rFonts w:hint="default"/>
        <w:lang w:val="fr-FR" w:eastAsia="en-US" w:bidi="ar-SA"/>
      </w:rPr>
      <w:start w:val="0"/>
      <w:suff w:val="tab"/>
    </w:lvl>
    <w:lvl w:ilvl="5">
      <w:isLgl w:val="false"/>
      <w:lvlJc w:val="left"/>
      <w:lvlText w:val="•"/>
      <w:numFmt w:val="bullet"/>
      <w:pPr>
        <w:pBdr/>
        <w:spacing/>
        <w:ind w:hanging="107" w:left="5901"/>
      </w:pPr>
      <w:rPr>
        <w:rFonts w:hint="default"/>
        <w:lang w:val="fr-FR" w:eastAsia="en-US" w:bidi="ar-SA"/>
      </w:rPr>
      <w:start w:val="0"/>
      <w:suff w:val="tab"/>
    </w:lvl>
    <w:lvl w:ilvl="6">
      <w:isLgl w:val="false"/>
      <w:lvlJc w:val="left"/>
      <w:lvlText w:val="•"/>
      <w:numFmt w:val="bullet"/>
      <w:pPr>
        <w:pBdr/>
        <w:spacing/>
        <w:ind w:hanging="107" w:left="6229"/>
      </w:pPr>
      <w:rPr>
        <w:rFonts w:hint="default"/>
        <w:lang w:val="fr-FR" w:eastAsia="en-US" w:bidi="ar-SA"/>
      </w:rPr>
      <w:start w:val="0"/>
      <w:suff w:val="tab"/>
    </w:lvl>
    <w:lvl w:ilvl="7">
      <w:isLgl w:val="false"/>
      <w:lvlJc w:val="left"/>
      <w:lvlText w:val="•"/>
      <w:numFmt w:val="bullet"/>
      <w:pPr>
        <w:pBdr/>
        <w:spacing/>
        <w:ind w:hanging="107" w:left="6557"/>
      </w:pPr>
      <w:rPr>
        <w:rFonts w:hint="default"/>
        <w:lang w:val="fr-FR" w:eastAsia="en-US" w:bidi="ar-SA"/>
      </w:rPr>
      <w:start w:val="0"/>
      <w:suff w:val="tab"/>
    </w:lvl>
    <w:lvl w:ilvl="8">
      <w:isLgl w:val="false"/>
      <w:lvlJc w:val="left"/>
      <w:lvlText w:val="•"/>
      <w:numFmt w:val="bullet"/>
      <w:pPr>
        <w:pBdr/>
        <w:spacing/>
        <w:ind w:hanging="107" w:left="6885"/>
      </w:pPr>
      <w:rPr>
        <w:rFonts w:hint="default"/>
        <w:lang w:val="fr-FR" w:eastAsia="en-US" w:bidi="ar-SA"/>
      </w:rPr>
      <w:start w:val="0"/>
      <w:suff w:val="tab"/>
    </w:lvl>
  </w:abstractNum>
  <w:abstractNum w:abstractNumId="13">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14">
    <w:lvl w:ilvl="0">
      <w:isLgl w:val="false"/>
      <w:lvlJc w:val="left"/>
      <w:lvlText w:val="%1."/>
      <w:numFmt w:val="decimal"/>
      <w:pPr>
        <w:pBdr/>
        <w:spacing/>
        <w:ind w:hanging="360" w:left="360"/>
      </w:pPr>
      <w:rPr>
        <w:rFonts w:hint="default"/>
      </w:rPr>
      <w:start w:val="1"/>
      <w:suff w:val="tab"/>
    </w:lvl>
    <w:lvl w:ilvl="1">
      <w:isLgl w:val="false"/>
      <w:lvlJc w:val="left"/>
      <w:lvlText w:val="%1.%2."/>
      <w:numFmt w:val="decimal"/>
      <w:pPr>
        <w:pBdr/>
        <w:spacing/>
        <w:ind w:hanging="720" w:left="720"/>
      </w:pPr>
      <w:rPr>
        <w:rFonts w:hint="default"/>
      </w:rPr>
      <w:start w:val="1"/>
      <w:suff w:val="tab"/>
    </w:lvl>
    <w:lvl w:ilvl="2">
      <w:isLgl w:val="false"/>
      <w:lvlJc w:val="left"/>
      <w:lvlText w:val="%1.%2.%3."/>
      <w:numFmt w:val="decimal"/>
      <w:pPr>
        <w:pBdr/>
        <w:spacing/>
        <w:ind w:hanging="720" w:left="720"/>
      </w:pPr>
      <w:rPr>
        <w:rFonts w:hint="default"/>
      </w:rPr>
      <w:start w:val="1"/>
      <w:suff w:val="tab"/>
    </w:lvl>
    <w:lvl w:ilvl="3">
      <w:isLgl w:val="false"/>
      <w:lvlJc w:val="left"/>
      <w:lvlText w:val="%1.%2.%3.%4."/>
      <w:numFmt w:val="decimal"/>
      <w:pPr>
        <w:pBdr/>
        <w:spacing/>
        <w:ind w:hanging="1080" w:left="1080"/>
      </w:pPr>
      <w:rPr>
        <w:rFonts w:hint="default"/>
      </w:rPr>
      <w:start w:val="1"/>
      <w:suff w:val="tab"/>
    </w:lvl>
    <w:lvl w:ilvl="4">
      <w:isLgl w:val="false"/>
      <w:lvlJc w:val="left"/>
      <w:lvlText w:val="%1.%2.%3.%4.%5."/>
      <w:numFmt w:val="decimal"/>
      <w:pPr>
        <w:pBdr/>
        <w:spacing/>
        <w:ind w:hanging="1080" w:left="1080"/>
      </w:pPr>
      <w:rPr>
        <w:rFonts w:hint="default"/>
      </w:rPr>
      <w:start w:val="1"/>
      <w:suff w:val="tab"/>
    </w:lvl>
    <w:lvl w:ilvl="5">
      <w:isLgl w:val="false"/>
      <w:lvlJc w:val="left"/>
      <w:lvlText w:val="%1.%2.%3.%4.%5.%6."/>
      <w:numFmt w:val="decimal"/>
      <w:pPr>
        <w:pBdr/>
        <w:spacing/>
        <w:ind w:hanging="1440" w:left="1440"/>
      </w:pPr>
      <w:rPr>
        <w:rFonts w:hint="default"/>
      </w:rPr>
      <w:start w:val="1"/>
      <w:suff w:val="tab"/>
    </w:lvl>
    <w:lvl w:ilvl="6">
      <w:isLgl w:val="false"/>
      <w:lvlJc w:val="left"/>
      <w:lvlText w:val="%1.%2.%3.%4.%5.%6.%7."/>
      <w:numFmt w:val="decimal"/>
      <w:pPr>
        <w:pBdr/>
        <w:spacing/>
        <w:ind w:hanging="1800" w:left="1800"/>
      </w:pPr>
      <w:rPr>
        <w:rFonts w:hint="default"/>
      </w:rPr>
      <w:start w:val="1"/>
      <w:suff w:val="tab"/>
    </w:lvl>
    <w:lvl w:ilvl="7">
      <w:isLgl w:val="false"/>
      <w:lvlJc w:val="left"/>
      <w:lvlText w:val="%1.%2.%3.%4.%5.%6.%7.%8."/>
      <w:numFmt w:val="decimal"/>
      <w:pPr>
        <w:pBdr/>
        <w:spacing/>
        <w:ind w:hanging="1800" w:left="1800"/>
      </w:pPr>
      <w:rPr>
        <w:rFonts w:hint="default"/>
      </w:rPr>
      <w:start w:val="1"/>
      <w:suff w:val="tab"/>
    </w:lvl>
    <w:lvl w:ilvl="8">
      <w:isLgl w:val="false"/>
      <w:lvlJc w:val="left"/>
      <w:lvlText w:val="%1.%2.%3.%4.%5.%6.%7.%8.%9."/>
      <w:numFmt w:val="decimal"/>
      <w:pPr>
        <w:pBdr/>
        <w:spacing/>
        <w:ind w:hanging="2160" w:left="2160"/>
      </w:pPr>
      <w:rPr>
        <w:rFonts w:hint="default"/>
      </w:rPr>
      <w:start w:val="1"/>
      <w:suff w:val="tab"/>
    </w:lvl>
  </w:abstractNum>
  <w:abstractNum w:abstractNumId="15">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16">
    <w:lvl w:ilvl="0">
      <w:isLgl w:val="false"/>
      <w:lvlJc w:val="left"/>
      <w:lvlText w:val="•"/>
      <w:numFmt w:val="bullet"/>
      <w:pPr>
        <w:pBdr/>
        <w:spacing/>
        <w:ind w:hanging="360" w:left="360"/>
      </w:pPr>
      <w:rPr>
        <w:rFonts w:hint="default" w:ascii="Aptos" w:hAnsi="Aptos" w:eastAsiaTheme="minorHAnsi" w:cstheme="minorBidi"/>
      </w:rPr>
      <w:start w:val="0"/>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7">
    <w:lvl w:ilvl="0">
      <w:isLgl w:val="false"/>
      <w:lvlJc w:val="left"/>
      <w:lvlText w:val=""/>
      <w:numFmt w:val="bullet"/>
      <w:pPr>
        <w:pBdr/>
        <w:spacing/>
        <w:ind w:hanging="360" w:left="600"/>
      </w:pPr>
      <w:rPr>
        <w:rFonts w:hint="default" w:ascii="Wingdings" w:hAnsi="Wingdings"/>
      </w:rPr>
      <w:start w:val="1"/>
      <w:suff w:val="tab"/>
    </w:lvl>
    <w:lvl w:ilvl="1">
      <w:isLgl w:val="false"/>
      <w:lvlJc w:val="left"/>
      <w:lvlText w:val="o"/>
      <w:numFmt w:val="bullet"/>
      <w:pPr>
        <w:pBdr/>
        <w:spacing/>
        <w:ind w:hanging="360" w:left="1320"/>
      </w:pPr>
      <w:rPr>
        <w:rFonts w:hint="default" w:ascii="Courier New" w:hAnsi="Courier New" w:cs="Courier New"/>
      </w:rPr>
      <w:start w:val="1"/>
      <w:suff w:val="tab"/>
    </w:lvl>
    <w:lvl w:ilvl="2">
      <w:isLgl w:val="false"/>
      <w:lvlJc w:val="left"/>
      <w:lvlText w:val=""/>
      <w:numFmt w:val="bullet"/>
      <w:pPr>
        <w:pBdr/>
        <w:spacing/>
        <w:ind w:hanging="360" w:left="2040"/>
      </w:pPr>
      <w:rPr>
        <w:rFonts w:hint="default" w:ascii="Wingdings" w:hAnsi="Wingdings"/>
      </w:rPr>
      <w:start w:val="1"/>
      <w:suff w:val="tab"/>
    </w:lvl>
    <w:lvl w:ilvl="3">
      <w:isLgl w:val="false"/>
      <w:lvlJc w:val="left"/>
      <w:lvlText w:val=""/>
      <w:numFmt w:val="bullet"/>
      <w:pPr>
        <w:pBdr/>
        <w:spacing/>
        <w:ind w:hanging="360" w:left="2760"/>
      </w:pPr>
      <w:rPr>
        <w:rFonts w:hint="default" w:ascii="Symbol" w:hAnsi="Symbol"/>
      </w:rPr>
      <w:start w:val="1"/>
      <w:suff w:val="tab"/>
    </w:lvl>
    <w:lvl w:ilvl="4">
      <w:isLgl w:val="false"/>
      <w:lvlJc w:val="left"/>
      <w:lvlText w:val="o"/>
      <w:numFmt w:val="bullet"/>
      <w:pPr>
        <w:pBdr/>
        <w:spacing/>
        <w:ind w:hanging="360" w:left="3480"/>
      </w:pPr>
      <w:rPr>
        <w:rFonts w:hint="default" w:ascii="Courier New" w:hAnsi="Courier New" w:cs="Courier New"/>
      </w:rPr>
      <w:start w:val="1"/>
      <w:suff w:val="tab"/>
    </w:lvl>
    <w:lvl w:ilvl="5">
      <w:isLgl w:val="false"/>
      <w:lvlJc w:val="left"/>
      <w:lvlText w:val=""/>
      <w:numFmt w:val="bullet"/>
      <w:pPr>
        <w:pBdr/>
        <w:spacing/>
        <w:ind w:hanging="360" w:left="4200"/>
      </w:pPr>
      <w:rPr>
        <w:rFonts w:hint="default" w:ascii="Wingdings" w:hAnsi="Wingdings"/>
      </w:rPr>
      <w:start w:val="1"/>
      <w:suff w:val="tab"/>
    </w:lvl>
    <w:lvl w:ilvl="6">
      <w:isLgl w:val="false"/>
      <w:lvlJc w:val="left"/>
      <w:lvlText w:val=""/>
      <w:numFmt w:val="bullet"/>
      <w:pPr>
        <w:pBdr/>
        <w:spacing/>
        <w:ind w:hanging="360" w:left="4920"/>
      </w:pPr>
      <w:rPr>
        <w:rFonts w:hint="default" w:ascii="Symbol" w:hAnsi="Symbol"/>
      </w:rPr>
      <w:start w:val="1"/>
      <w:suff w:val="tab"/>
    </w:lvl>
    <w:lvl w:ilvl="7">
      <w:isLgl w:val="false"/>
      <w:lvlJc w:val="left"/>
      <w:lvlText w:val="o"/>
      <w:numFmt w:val="bullet"/>
      <w:pPr>
        <w:pBdr/>
        <w:spacing/>
        <w:ind w:hanging="360" w:left="5640"/>
      </w:pPr>
      <w:rPr>
        <w:rFonts w:hint="default" w:ascii="Courier New" w:hAnsi="Courier New" w:cs="Courier New"/>
      </w:rPr>
      <w:start w:val="1"/>
      <w:suff w:val="tab"/>
    </w:lvl>
    <w:lvl w:ilvl="8">
      <w:isLgl w:val="false"/>
      <w:lvlJc w:val="left"/>
      <w:lvlText w:val=""/>
      <w:numFmt w:val="bullet"/>
      <w:pPr>
        <w:pBdr/>
        <w:spacing/>
        <w:ind w:hanging="360" w:left="6360"/>
      </w:pPr>
      <w:rPr>
        <w:rFonts w:hint="default" w:ascii="Wingdings" w:hAnsi="Wingdings"/>
      </w:rPr>
      <w:start w:val="1"/>
      <w:suff w:val="tab"/>
    </w:lvl>
  </w:abstractNum>
  <w:abstractNum w:abstractNumId="18">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19">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1">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
      <w:numFmt w:val="bullet"/>
      <w:pPr>
        <w:pBdr/>
        <w:spacing/>
        <w:ind w:hanging="360" w:left="1440"/>
      </w:pPr>
      <w:rPr>
        <w:rFonts w:hint="default" w:ascii="Symbol" w:hAnsi="Symbol" w:eastAsia="Symbol" w:cs="Symbol"/>
      </w:rPr>
      <w:start w:val="1"/>
      <w:suff w:val="tab"/>
    </w:lvl>
    <w:lvl w:ilvl="2">
      <w:isLgl w:val="false"/>
      <w:lvlJc w:val="left"/>
      <w:lvlText w:val=""/>
      <w:numFmt w:val="bullet"/>
      <w:pPr>
        <w:pBdr/>
        <w:spacing/>
        <w:ind w:hanging="360" w:left="2160"/>
      </w:pPr>
      <w:rPr>
        <w:rFonts w:hint="default" w:ascii="Symbol" w:hAnsi="Symbol" w:eastAsia="Symbol" w:cs="Symbol"/>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
      <w:numFmt w:val="bullet"/>
      <w:pPr>
        <w:pBdr/>
        <w:spacing/>
        <w:ind w:hanging="360" w:left="3600"/>
      </w:pPr>
      <w:rPr>
        <w:rFonts w:hint="default" w:ascii="Symbol" w:hAnsi="Symbol" w:eastAsia="Symbol" w:cs="Symbol"/>
      </w:rPr>
      <w:start w:val="1"/>
      <w:suff w:val="tab"/>
    </w:lvl>
    <w:lvl w:ilvl="5">
      <w:isLgl w:val="false"/>
      <w:lvlJc w:val="left"/>
      <w:lvlText w:val=""/>
      <w:numFmt w:val="bullet"/>
      <w:pPr>
        <w:pBdr/>
        <w:spacing/>
        <w:ind w:hanging="360" w:left="4320"/>
      </w:pPr>
      <w:rPr>
        <w:rFonts w:hint="default" w:ascii="Symbol" w:hAnsi="Symbol" w:eastAsia="Symbol" w:cs="Symbol"/>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
      <w:numFmt w:val="bullet"/>
      <w:pPr>
        <w:pBdr/>
        <w:spacing/>
        <w:ind w:hanging="360" w:left="5760"/>
      </w:pPr>
      <w:rPr>
        <w:rFonts w:hint="default" w:ascii="Symbol" w:hAnsi="Symbol" w:eastAsia="Symbol" w:cs="Symbol"/>
      </w:rPr>
      <w:start w:val="1"/>
      <w:suff w:val="tab"/>
    </w:lvl>
    <w:lvl w:ilvl="8">
      <w:isLgl w:val="false"/>
      <w:lvlJc w:val="left"/>
      <w:lvlText w:val=""/>
      <w:numFmt w:val="bullet"/>
      <w:pPr>
        <w:pBdr/>
        <w:spacing/>
        <w:ind w:hanging="360" w:left="6480"/>
      </w:pPr>
      <w:rPr>
        <w:rFonts w:hint="default" w:ascii="Symbol" w:hAnsi="Symbol" w:eastAsia="Symbol" w:cs="Symbol"/>
      </w:rPr>
      <w:start w:val="1"/>
      <w:suff w:val="tab"/>
    </w:lvl>
  </w:abstractNum>
  <w:abstractNum w:abstractNumId="22">
    <w:lvl w:ilvl="0">
      <w:isLgl w:val="false"/>
      <w:lvlJc w:val="left"/>
      <w:lvlText w:val=""/>
      <w:numFmt w:val="bullet"/>
      <w:pPr>
        <w:pBdr/>
        <w:spacing/>
        <w:ind w:hanging="360" w:left="360"/>
      </w:pPr>
      <w:rPr>
        <w:rFonts w:hint="default" w:ascii="Symbol" w:hAnsi="Symbol"/>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3">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4">
    <w:lvl w:ilvl="0">
      <w:isLgl w:val="false"/>
      <w:lvlJc w:val="left"/>
      <w:lvlText w:val="-"/>
      <w:numFmt w:val="bullet"/>
      <w:pPr>
        <w:pBdr/>
        <w:spacing/>
        <w:ind w:hanging="360" w:left="720"/>
      </w:pPr>
      <w:rPr>
        <w:rFonts w:hint="default" w:ascii="Times New Roman" w:hAnsi="Times New Roman" w:eastAsia="Times New Roman" w:cs="Times New Roman"/>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26">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8">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9">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1">
    <w:lvl w:ilvl="0">
      <w:isLgl w:val="false"/>
      <w:lvlJc w:val="left"/>
      <w:lvlText w:val="–"/>
      <w:numFmt w:val="bullet"/>
      <w:pPr>
        <w:pBdr/>
        <w:spacing/>
        <w:ind w:hanging="360" w:left="1417"/>
      </w:pPr>
      <w:rPr>
        <w:rFonts w:hint="default" w:ascii="Arial" w:hAnsi="Arial" w:eastAsia="Arial" w:cs="Arial"/>
      </w:rPr>
      <w:start w:val="1"/>
      <w:suff w:val="tab"/>
    </w:lvl>
    <w:lvl w:ilvl="1">
      <w:isLgl w:val="false"/>
      <w:lvlJc w:val="left"/>
      <w:lvlText w:val="o"/>
      <w:numFmt w:val="bullet"/>
      <w:pPr>
        <w:pBdr/>
        <w:spacing/>
        <w:ind w:hanging="360" w:left="2137"/>
      </w:pPr>
      <w:rPr>
        <w:rFonts w:hint="default" w:ascii="Courier New" w:hAnsi="Courier New" w:eastAsia="Courier New" w:cs="Courier New"/>
      </w:rPr>
      <w:start w:val="1"/>
      <w:suff w:val="tab"/>
    </w:lvl>
    <w:lvl w:ilvl="2">
      <w:isLgl w:val="false"/>
      <w:lvlJc w:val="left"/>
      <w:lvlText w:val="§"/>
      <w:numFmt w:val="bullet"/>
      <w:pPr>
        <w:pBdr/>
        <w:spacing/>
        <w:ind w:hanging="360" w:left="2857"/>
      </w:pPr>
      <w:rPr>
        <w:rFonts w:hint="default" w:ascii="Wingdings" w:hAnsi="Wingdings" w:eastAsia="Wingdings" w:cs="Wingdings"/>
      </w:rPr>
      <w:start w:val="1"/>
      <w:suff w:val="tab"/>
    </w:lvl>
    <w:lvl w:ilvl="3">
      <w:isLgl w:val="false"/>
      <w:lvlJc w:val="left"/>
      <w:lvlText w:val="·"/>
      <w:numFmt w:val="bullet"/>
      <w:pPr>
        <w:pBdr/>
        <w:spacing/>
        <w:ind w:hanging="360" w:left="3577"/>
      </w:pPr>
      <w:rPr>
        <w:rFonts w:hint="default" w:ascii="Symbol" w:hAnsi="Symbol" w:eastAsia="Symbol" w:cs="Symbol"/>
      </w:rPr>
      <w:start w:val="1"/>
      <w:suff w:val="tab"/>
    </w:lvl>
    <w:lvl w:ilvl="4">
      <w:isLgl w:val="false"/>
      <w:lvlJc w:val="left"/>
      <w:lvlText w:val="o"/>
      <w:numFmt w:val="bullet"/>
      <w:pPr>
        <w:pBdr/>
        <w:spacing/>
        <w:ind w:hanging="360" w:left="4297"/>
      </w:pPr>
      <w:rPr>
        <w:rFonts w:hint="default" w:ascii="Courier New" w:hAnsi="Courier New" w:eastAsia="Courier New" w:cs="Courier New"/>
      </w:rPr>
      <w:start w:val="1"/>
      <w:suff w:val="tab"/>
    </w:lvl>
    <w:lvl w:ilvl="5">
      <w:isLgl w:val="false"/>
      <w:lvlJc w:val="left"/>
      <w:lvlText w:val="§"/>
      <w:numFmt w:val="bullet"/>
      <w:pPr>
        <w:pBdr/>
        <w:spacing/>
        <w:ind w:hanging="360" w:left="5017"/>
      </w:pPr>
      <w:rPr>
        <w:rFonts w:hint="default" w:ascii="Wingdings" w:hAnsi="Wingdings" w:eastAsia="Wingdings" w:cs="Wingdings"/>
      </w:rPr>
      <w:start w:val="1"/>
      <w:suff w:val="tab"/>
    </w:lvl>
    <w:lvl w:ilvl="6">
      <w:isLgl w:val="false"/>
      <w:lvlJc w:val="left"/>
      <w:lvlText w:val="·"/>
      <w:numFmt w:val="bullet"/>
      <w:pPr>
        <w:pBdr/>
        <w:spacing/>
        <w:ind w:hanging="360" w:left="5737"/>
      </w:pPr>
      <w:rPr>
        <w:rFonts w:hint="default" w:ascii="Symbol" w:hAnsi="Symbol" w:eastAsia="Symbol" w:cs="Symbol"/>
      </w:rPr>
      <w:start w:val="1"/>
      <w:suff w:val="tab"/>
    </w:lvl>
    <w:lvl w:ilvl="7">
      <w:isLgl w:val="false"/>
      <w:lvlJc w:val="left"/>
      <w:lvlText w:val="o"/>
      <w:numFmt w:val="bullet"/>
      <w:pPr>
        <w:pBdr/>
        <w:spacing/>
        <w:ind w:hanging="360" w:left="6457"/>
      </w:pPr>
      <w:rPr>
        <w:rFonts w:hint="default" w:ascii="Courier New" w:hAnsi="Courier New" w:eastAsia="Courier New" w:cs="Courier New"/>
      </w:rPr>
      <w:start w:val="1"/>
      <w:suff w:val="tab"/>
    </w:lvl>
    <w:lvl w:ilvl="8">
      <w:isLgl w:val="false"/>
      <w:lvlJc w:val="left"/>
      <w:lvlText w:val="§"/>
      <w:numFmt w:val="bullet"/>
      <w:pPr>
        <w:pBdr/>
        <w:spacing/>
        <w:ind w:hanging="360" w:left="7177"/>
      </w:pPr>
      <w:rPr>
        <w:rFonts w:hint="default" w:ascii="Wingdings" w:hAnsi="Wingdings" w:eastAsia="Wingdings" w:cs="Wingdings"/>
      </w:rPr>
      <w:start w:val="1"/>
      <w:suff w:val="tab"/>
    </w:lvl>
  </w:abstractNum>
  <w:abstractNum w:abstractNumId="32">
    <w:lvl w:ilvl="0">
      <w:isLgl w:val="false"/>
      <w:lvlJc w:val="left"/>
      <w:lvlText w:val="%1."/>
      <w:numFmt w:val="decimal"/>
      <w:pPr>
        <w:pBdr/>
        <w:spacing/>
        <w:ind w:hanging="360" w:left="360"/>
      </w:pPr>
      <w:rPr>
        <w:rFonts w:hint="default"/>
      </w:rPr>
      <w:start w:val="1"/>
      <w:suff w:val="tab"/>
    </w:lvl>
    <w:lvl w:ilvl="1">
      <w:isLgl w:val="false"/>
      <w:lvlJc w:val="left"/>
      <w:lvlText w:val="%1.%2."/>
      <w:numFmt w:val="decimal"/>
      <w:pPr>
        <w:pBdr/>
        <w:spacing/>
        <w:ind w:hanging="720" w:left="720"/>
      </w:pPr>
      <w:rPr>
        <w:rFonts w:hint="default"/>
      </w:rPr>
      <w:start w:val="1"/>
      <w:suff w:val="tab"/>
    </w:lvl>
    <w:lvl w:ilvl="2">
      <w:isLgl w:val="false"/>
      <w:lvlJc w:val="left"/>
      <w:lvlText w:val="%1.%2.%3."/>
      <w:numFmt w:val="decimal"/>
      <w:pPr>
        <w:pBdr/>
        <w:spacing/>
        <w:ind w:hanging="720" w:left="720"/>
      </w:pPr>
      <w:rPr>
        <w:rFonts w:hint="default"/>
      </w:rPr>
      <w:start w:val="1"/>
      <w:suff w:val="tab"/>
    </w:lvl>
    <w:lvl w:ilvl="3">
      <w:isLgl w:val="false"/>
      <w:lvlJc w:val="left"/>
      <w:lvlText w:val="%1.%2.%3.%4."/>
      <w:numFmt w:val="decimal"/>
      <w:pPr>
        <w:pBdr/>
        <w:spacing/>
        <w:ind w:hanging="1080" w:left="1080"/>
      </w:pPr>
      <w:rPr>
        <w:rFonts w:hint="default"/>
      </w:rPr>
      <w:start w:val="1"/>
      <w:suff w:val="tab"/>
    </w:lvl>
    <w:lvl w:ilvl="4">
      <w:isLgl w:val="false"/>
      <w:lvlJc w:val="left"/>
      <w:lvlText w:val="%1.%2.%3.%4.%5."/>
      <w:numFmt w:val="decimal"/>
      <w:pPr>
        <w:pBdr/>
        <w:spacing/>
        <w:ind w:hanging="1080" w:left="1080"/>
      </w:pPr>
      <w:rPr>
        <w:rFonts w:hint="default"/>
      </w:rPr>
      <w:start w:val="1"/>
      <w:suff w:val="tab"/>
    </w:lvl>
    <w:lvl w:ilvl="5">
      <w:isLgl w:val="false"/>
      <w:lvlJc w:val="left"/>
      <w:lvlText w:val="%1.%2.%3.%4.%5.%6."/>
      <w:numFmt w:val="decimal"/>
      <w:pPr>
        <w:pBdr/>
        <w:spacing/>
        <w:ind w:hanging="1440" w:left="1440"/>
      </w:pPr>
      <w:rPr>
        <w:rFonts w:hint="default"/>
      </w:rPr>
      <w:start w:val="1"/>
      <w:suff w:val="tab"/>
    </w:lvl>
    <w:lvl w:ilvl="6">
      <w:isLgl w:val="false"/>
      <w:lvlJc w:val="left"/>
      <w:lvlText w:val="%1.%2.%3.%4.%5.%6.%7."/>
      <w:numFmt w:val="decimal"/>
      <w:pPr>
        <w:pBdr/>
        <w:spacing/>
        <w:ind w:hanging="1800" w:left="1800"/>
      </w:pPr>
      <w:rPr>
        <w:rFonts w:hint="default"/>
      </w:rPr>
      <w:start w:val="1"/>
      <w:suff w:val="tab"/>
    </w:lvl>
    <w:lvl w:ilvl="7">
      <w:isLgl w:val="false"/>
      <w:lvlJc w:val="left"/>
      <w:lvlText w:val="%1.%2.%3.%4.%5.%6.%7.%8."/>
      <w:numFmt w:val="decimal"/>
      <w:pPr>
        <w:pBdr/>
        <w:spacing/>
        <w:ind w:hanging="1800" w:left="1800"/>
      </w:pPr>
      <w:rPr>
        <w:rFonts w:hint="default"/>
      </w:rPr>
      <w:start w:val="1"/>
      <w:suff w:val="tab"/>
    </w:lvl>
    <w:lvl w:ilvl="8">
      <w:isLgl w:val="false"/>
      <w:lvlJc w:val="left"/>
      <w:lvlText w:val="%1.%2.%3.%4.%5.%6.%7.%8.%9."/>
      <w:numFmt w:val="decimal"/>
      <w:pPr>
        <w:pBdr/>
        <w:spacing/>
        <w:ind w:hanging="2160" w:left="2160"/>
      </w:pPr>
      <w:rPr>
        <w:rFonts w:hint="default"/>
      </w:rPr>
      <w:start w:val="1"/>
      <w:suff w:val="tab"/>
    </w:lvl>
  </w:abstractNum>
  <w:abstractNum w:abstractNumId="33">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4">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5">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4"/>
  </w:num>
  <w:num w:numId="2">
    <w:abstractNumId w:val="24"/>
  </w:num>
  <w:num w:numId="3">
    <w:abstractNumId w:val="0"/>
  </w:num>
  <w:num w:numId="4">
    <w:abstractNumId w:val="9"/>
  </w:num>
  <w:num w:numId="5">
    <w:abstractNumId w:val="27"/>
  </w:num>
  <w:num w:numId="6">
    <w:abstractNumId w:val="19"/>
  </w:num>
  <w:num w:numId="7">
    <w:abstractNumId w:val="1"/>
  </w:num>
  <w:num w:numId="8">
    <w:abstractNumId w:val="17"/>
  </w:num>
  <w:num w:numId="9">
    <w:abstractNumId w:val="7"/>
  </w:num>
  <w:num w:numId="10">
    <w:abstractNumId w:val="14"/>
  </w:num>
  <w:num w:numId="11">
    <w:abstractNumId w:val="32"/>
  </w:num>
  <w:num w:numId="12">
    <w:abstractNumId w:val="12"/>
  </w:num>
  <w:num w:numId="13">
    <w:abstractNumId w:val="30"/>
  </w:num>
  <w:num w:numId="14">
    <w:abstractNumId w:val="5"/>
  </w:num>
  <w:num w:numId="15">
    <w:abstractNumId w:val="29"/>
  </w:num>
  <w:num w:numId="16">
    <w:abstractNumId w:val="28"/>
  </w:num>
  <w:num w:numId="17">
    <w:abstractNumId w:val="8"/>
  </w:num>
  <w:num w:numId="18">
    <w:abstractNumId w:val="31"/>
  </w:num>
  <w:num w:numId="19">
    <w:abstractNumId w:val="10"/>
  </w:num>
  <w:num w:numId="20">
    <w:abstractNumId w:val="3"/>
  </w:num>
  <w:num w:numId="21">
    <w:abstractNumId w:val="35"/>
  </w:num>
  <w:num w:numId="22">
    <w:abstractNumId w:val="13"/>
  </w:num>
  <w:num w:numId="23">
    <w:abstractNumId w:val="18"/>
  </w:num>
  <w:num w:numId="24">
    <w:abstractNumId w:val="2"/>
  </w:num>
  <w:num w:numId="25">
    <w:abstractNumId w:val="26"/>
  </w:num>
  <w:num w:numId="26">
    <w:abstractNumId w:val="33"/>
  </w:num>
  <w:num w:numId="27">
    <w:abstractNumId w:val="23"/>
  </w:num>
  <w:num w:numId="28">
    <w:abstractNumId w:val="20"/>
  </w:num>
  <w:num w:numId="29">
    <w:abstractNumId w:val="21"/>
  </w:num>
  <w:num w:numId="30">
    <w:abstractNumId w:val="25"/>
  </w:num>
  <w:num w:numId="31">
    <w:abstractNumId w:val="34"/>
  </w:num>
  <w:num w:numId="32">
    <w:abstractNumId w:val="6"/>
  </w:num>
  <w:num w:numId="33">
    <w:abstractNumId w:val="15"/>
  </w:num>
  <w:num w:numId="34">
    <w:abstractNumId w:val="22"/>
  </w:num>
  <w:num w:numId="35">
    <w:abstractNumId w:val="16"/>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fr-FR"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890" w:default="1">
    <w:name w:val="Normal"/>
    <w:qFormat/>
    <w:pPr>
      <w:pBdr/>
      <w:spacing w:after="120"/>
      <w:ind/>
    </w:pPr>
    <w:rPr>
      <w:rFonts w:ascii="Barlow" w:hAnsi="Barlow" w:eastAsia="Barlow" w:cs="Barlow"/>
    </w:rPr>
  </w:style>
  <w:style w:type="paragraph" w:styleId="891">
    <w:name w:val="Heading 1"/>
    <w:basedOn w:val="890"/>
    <w:next w:val="890"/>
    <w:link w:val="1046"/>
    <w:uiPriority w:val="9"/>
    <w:qFormat/>
    <w:pPr>
      <w:keepNext w:val="true"/>
      <w:keepLines w:val="true"/>
      <w:pBdr/>
      <w:spacing w:after="80" w:before="360"/>
      <w:ind/>
      <w:outlineLvl w:val="0"/>
    </w:pPr>
    <w:rPr>
      <w:rFonts w:ascii="Arial" w:hAnsi="Arial" w:eastAsia="Arial" w:cs="Arial"/>
      <w:color w:val="2f5496" w:themeColor="accent1" w:themeShade="BF"/>
      <w:sz w:val="40"/>
      <w:szCs w:val="40"/>
    </w:rPr>
  </w:style>
  <w:style w:type="paragraph" w:styleId="892">
    <w:name w:val="Heading 2"/>
    <w:basedOn w:val="890"/>
    <w:next w:val="890"/>
    <w:link w:val="1047"/>
    <w:uiPriority w:val="9"/>
    <w:unhideWhenUsed/>
    <w:qFormat/>
    <w:pPr>
      <w:keepNext w:val="true"/>
      <w:keepLines w:val="true"/>
      <w:pBdr/>
      <w:spacing w:after="80" w:before="160"/>
      <w:ind/>
      <w:jc w:val="center"/>
      <w:outlineLvl w:val="1"/>
    </w:pPr>
    <w:rPr>
      <w:rFonts w:eastAsia="Arial" w:cs="Barlow Light"/>
      <w:b/>
      <w:color w:val="000000" w:themeColor="text1"/>
      <w:sz w:val="28"/>
      <w:szCs w:val="28"/>
    </w:rPr>
  </w:style>
  <w:style w:type="paragraph" w:styleId="893">
    <w:name w:val="Heading 3"/>
    <w:basedOn w:val="890"/>
    <w:next w:val="890"/>
    <w:link w:val="1048"/>
    <w:uiPriority w:val="9"/>
    <w:unhideWhenUsed/>
    <w:qFormat/>
    <w:pPr>
      <w:keepNext w:val="true"/>
      <w:keepLines w:val="true"/>
      <w:pBdr/>
      <w:spacing w:after="80" w:before="160"/>
      <w:ind/>
      <w:outlineLvl w:val="2"/>
    </w:pPr>
    <w:rPr>
      <w:b/>
      <w:bCs/>
      <w:color w:val="000000" w:themeColor="text1"/>
    </w:rPr>
  </w:style>
  <w:style w:type="paragraph" w:styleId="894">
    <w:name w:val="Heading 4"/>
    <w:basedOn w:val="890"/>
    <w:next w:val="890"/>
    <w:link w:val="1049"/>
    <w:uiPriority w:val="9"/>
    <w:unhideWhenUsed/>
    <w:qFormat/>
    <w:pPr>
      <w:keepNext w:val="true"/>
      <w:keepLines w:val="true"/>
      <w:pBdr/>
      <w:spacing w:after="40" w:before="80"/>
      <w:ind/>
      <w:outlineLvl w:val="3"/>
    </w:pPr>
    <w:rPr>
      <w:rFonts w:ascii="Arial" w:hAnsi="Arial" w:eastAsia="Arial" w:cs="Arial"/>
      <w:i/>
      <w:iCs/>
      <w:color w:val="2f5496" w:themeColor="accent1" w:themeShade="BF"/>
    </w:rPr>
  </w:style>
  <w:style w:type="paragraph" w:styleId="895">
    <w:name w:val="Heading 5"/>
    <w:basedOn w:val="890"/>
    <w:next w:val="890"/>
    <w:link w:val="1050"/>
    <w:uiPriority w:val="9"/>
    <w:unhideWhenUsed/>
    <w:qFormat/>
    <w:pPr>
      <w:keepNext w:val="true"/>
      <w:keepLines w:val="true"/>
      <w:pBdr/>
      <w:spacing w:after="40" w:before="80"/>
      <w:ind/>
      <w:outlineLvl w:val="4"/>
    </w:pPr>
    <w:rPr>
      <w:rFonts w:ascii="Arial" w:hAnsi="Arial" w:eastAsia="Arial" w:cs="Arial"/>
      <w:color w:val="2f5496" w:themeColor="accent1" w:themeShade="BF"/>
    </w:rPr>
  </w:style>
  <w:style w:type="paragraph" w:styleId="896">
    <w:name w:val="Heading 6"/>
    <w:basedOn w:val="890"/>
    <w:next w:val="890"/>
    <w:link w:val="1051"/>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897">
    <w:name w:val="Heading 7"/>
    <w:basedOn w:val="890"/>
    <w:next w:val="890"/>
    <w:link w:val="1052"/>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898">
    <w:name w:val="Heading 8"/>
    <w:basedOn w:val="890"/>
    <w:next w:val="890"/>
    <w:link w:val="1053"/>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899">
    <w:name w:val="Heading 9"/>
    <w:basedOn w:val="890"/>
    <w:next w:val="890"/>
    <w:link w:val="1054"/>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00" w:default="1">
    <w:name w:val="Default Paragraph Font"/>
    <w:uiPriority w:val="1"/>
    <w:unhideWhenUsed/>
    <w:pPr>
      <w:pBdr/>
      <w:spacing/>
      <w:ind/>
    </w:pPr>
  </w:style>
  <w:style w:type="table" w:styleId="901"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02" w:default="1">
    <w:name w:val="No List"/>
    <w:uiPriority w:val="99"/>
    <w:semiHidden/>
    <w:unhideWhenUsed/>
    <w:pPr>
      <w:pBdr/>
      <w:spacing/>
      <w:ind/>
    </w:pPr>
  </w:style>
  <w:style w:type="character" w:styleId="903" w:customStyle="1">
    <w:name w:val="Heading 1 Char"/>
    <w:basedOn w:val="900"/>
    <w:uiPriority w:val="9"/>
    <w:pPr>
      <w:pBdr/>
      <w:spacing/>
      <w:ind/>
    </w:pPr>
    <w:rPr>
      <w:rFonts w:ascii="Arial" w:hAnsi="Arial" w:eastAsia="Arial" w:cs="Arial"/>
      <w:color w:val="2f5496" w:themeColor="accent1" w:themeShade="BF"/>
      <w:sz w:val="40"/>
      <w:szCs w:val="40"/>
    </w:rPr>
  </w:style>
  <w:style w:type="character" w:styleId="904" w:customStyle="1">
    <w:name w:val="Heading 2 Char"/>
    <w:basedOn w:val="900"/>
    <w:uiPriority w:val="9"/>
    <w:pPr>
      <w:pBdr/>
      <w:spacing/>
      <w:ind/>
    </w:pPr>
    <w:rPr>
      <w:rFonts w:ascii="Arial" w:hAnsi="Arial" w:eastAsia="Arial" w:cs="Arial"/>
      <w:color w:val="2f5496" w:themeColor="accent1" w:themeShade="BF"/>
      <w:sz w:val="32"/>
      <w:szCs w:val="32"/>
    </w:rPr>
  </w:style>
  <w:style w:type="character" w:styleId="905" w:customStyle="1">
    <w:name w:val="Heading 3 Char"/>
    <w:basedOn w:val="900"/>
    <w:uiPriority w:val="9"/>
    <w:pPr>
      <w:pBdr/>
      <w:spacing/>
      <w:ind/>
    </w:pPr>
    <w:rPr>
      <w:rFonts w:ascii="Arial" w:hAnsi="Arial" w:eastAsia="Arial" w:cs="Arial"/>
      <w:color w:val="2f5496" w:themeColor="accent1" w:themeShade="BF"/>
      <w:sz w:val="28"/>
      <w:szCs w:val="28"/>
    </w:rPr>
  </w:style>
  <w:style w:type="character" w:styleId="906" w:customStyle="1">
    <w:name w:val="Heading 4 Char"/>
    <w:basedOn w:val="900"/>
    <w:uiPriority w:val="9"/>
    <w:pPr>
      <w:pBdr/>
      <w:spacing/>
      <w:ind/>
    </w:pPr>
    <w:rPr>
      <w:rFonts w:ascii="Arial" w:hAnsi="Arial" w:eastAsia="Arial" w:cs="Arial"/>
      <w:i/>
      <w:iCs/>
      <w:color w:val="2f5496" w:themeColor="accent1" w:themeShade="BF"/>
    </w:rPr>
  </w:style>
  <w:style w:type="character" w:styleId="907" w:customStyle="1">
    <w:name w:val="Heading 5 Char"/>
    <w:basedOn w:val="900"/>
    <w:uiPriority w:val="9"/>
    <w:pPr>
      <w:pBdr/>
      <w:spacing/>
      <w:ind/>
    </w:pPr>
    <w:rPr>
      <w:rFonts w:ascii="Arial" w:hAnsi="Arial" w:eastAsia="Arial" w:cs="Arial"/>
      <w:color w:val="2f5496" w:themeColor="accent1" w:themeShade="BF"/>
    </w:rPr>
  </w:style>
  <w:style w:type="character" w:styleId="908" w:customStyle="1">
    <w:name w:val="Heading 6 Char"/>
    <w:basedOn w:val="900"/>
    <w:uiPriority w:val="9"/>
    <w:pPr>
      <w:pBdr/>
      <w:spacing/>
      <w:ind/>
    </w:pPr>
    <w:rPr>
      <w:rFonts w:ascii="Arial" w:hAnsi="Arial" w:eastAsia="Arial" w:cs="Arial"/>
      <w:i/>
      <w:iCs/>
      <w:color w:val="595959" w:themeColor="text1" w:themeTint="A6"/>
    </w:rPr>
  </w:style>
  <w:style w:type="character" w:styleId="909" w:customStyle="1">
    <w:name w:val="Heading 7 Char"/>
    <w:basedOn w:val="900"/>
    <w:uiPriority w:val="9"/>
    <w:pPr>
      <w:pBdr/>
      <w:spacing/>
      <w:ind/>
    </w:pPr>
    <w:rPr>
      <w:rFonts w:ascii="Arial" w:hAnsi="Arial" w:eastAsia="Arial" w:cs="Arial"/>
      <w:color w:val="595959" w:themeColor="text1" w:themeTint="A6"/>
    </w:rPr>
  </w:style>
  <w:style w:type="character" w:styleId="910" w:customStyle="1">
    <w:name w:val="Heading 8 Char"/>
    <w:basedOn w:val="900"/>
    <w:uiPriority w:val="9"/>
    <w:pPr>
      <w:pBdr/>
      <w:spacing/>
      <w:ind/>
    </w:pPr>
    <w:rPr>
      <w:rFonts w:ascii="Arial" w:hAnsi="Arial" w:eastAsia="Arial" w:cs="Arial"/>
      <w:i/>
      <w:iCs/>
      <w:color w:val="272727" w:themeColor="text1" w:themeTint="D8"/>
    </w:rPr>
  </w:style>
  <w:style w:type="character" w:styleId="911" w:customStyle="1">
    <w:name w:val="Heading 9 Char"/>
    <w:basedOn w:val="900"/>
    <w:uiPriority w:val="9"/>
    <w:pPr>
      <w:pBdr/>
      <w:spacing/>
      <w:ind/>
    </w:pPr>
    <w:rPr>
      <w:rFonts w:ascii="Arial" w:hAnsi="Arial" w:eastAsia="Arial" w:cs="Arial"/>
      <w:i/>
      <w:iCs/>
      <w:color w:val="272727" w:themeColor="text1" w:themeTint="D8"/>
    </w:rPr>
  </w:style>
  <w:style w:type="character" w:styleId="912" w:customStyle="1">
    <w:name w:val="Title Char"/>
    <w:basedOn w:val="900"/>
    <w:uiPriority w:val="10"/>
    <w:pPr>
      <w:pBdr/>
      <w:spacing/>
      <w:ind/>
    </w:pPr>
    <w:rPr>
      <w:rFonts w:ascii="Arial" w:hAnsi="Arial" w:eastAsia="Arial" w:cs="Arial"/>
      <w:spacing w:val="-10"/>
      <w:sz w:val="56"/>
      <w:szCs w:val="56"/>
    </w:rPr>
  </w:style>
  <w:style w:type="character" w:styleId="913" w:customStyle="1">
    <w:name w:val="Subtitle Char"/>
    <w:basedOn w:val="900"/>
    <w:uiPriority w:val="11"/>
    <w:pPr>
      <w:pBdr/>
      <w:spacing/>
      <w:ind/>
    </w:pPr>
    <w:rPr>
      <w:color w:val="595959" w:themeColor="text1" w:themeTint="A6"/>
      <w:spacing w:val="15"/>
      <w:sz w:val="28"/>
      <w:szCs w:val="28"/>
    </w:rPr>
  </w:style>
  <w:style w:type="character" w:styleId="914" w:customStyle="1">
    <w:name w:val="Quote Char"/>
    <w:basedOn w:val="900"/>
    <w:uiPriority w:val="29"/>
    <w:pPr>
      <w:pBdr/>
      <w:spacing/>
      <w:ind/>
    </w:pPr>
    <w:rPr>
      <w:i/>
      <w:iCs/>
      <w:color w:val="404040" w:themeColor="text1" w:themeTint="BF"/>
    </w:rPr>
  </w:style>
  <w:style w:type="character" w:styleId="915" w:customStyle="1">
    <w:name w:val="Intense Quote Char"/>
    <w:basedOn w:val="900"/>
    <w:uiPriority w:val="30"/>
    <w:pPr>
      <w:pBdr/>
      <w:spacing/>
      <w:ind/>
    </w:pPr>
    <w:rPr>
      <w:i/>
      <w:iCs/>
      <w:color w:val="2f5496" w:themeColor="accent1" w:themeShade="BF"/>
    </w:rPr>
  </w:style>
  <w:style w:type="character" w:styleId="916" w:customStyle="1">
    <w:name w:val="Header Char"/>
    <w:basedOn w:val="900"/>
    <w:uiPriority w:val="99"/>
    <w:pPr>
      <w:pBdr/>
      <w:spacing/>
      <w:ind/>
    </w:pPr>
  </w:style>
  <w:style w:type="character" w:styleId="917" w:customStyle="1">
    <w:name w:val="Footer Char"/>
    <w:basedOn w:val="900"/>
    <w:uiPriority w:val="99"/>
    <w:pPr>
      <w:pBdr/>
      <w:spacing/>
      <w:ind/>
    </w:pPr>
  </w:style>
  <w:style w:type="character" w:styleId="918" w:customStyle="1">
    <w:name w:val="Footnote Text Char"/>
    <w:basedOn w:val="900"/>
    <w:uiPriority w:val="99"/>
    <w:semiHidden/>
    <w:pPr>
      <w:pBdr/>
      <w:spacing/>
      <w:ind/>
    </w:pPr>
    <w:rPr>
      <w:sz w:val="20"/>
      <w:szCs w:val="20"/>
    </w:rPr>
  </w:style>
  <w:style w:type="character" w:styleId="919" w:customStyle="1">
    <w:name w:val="Endnote Text Char"/>
    <w:basedOn w:val="900"/>
    <w:uiPriority w:val="99"/>
    <w:semiHidden/>
    <w:pPr>
      <w:pBdr/>
      <w:spacing/>
      <w:ind/>
    </w:pPr>
    <w:rPr>
      <w:sz w:val="20"/>
      <w:szCs w:val="20"/>
    </w:rPr>
  </w:style>
  <w:style w:type="table" w:styleId="920">
    <w:name w:val="Table Grid"/>
    <w:basedOn w:val="90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customStyle="1">
    <w:name w:val="Table Grid Light"/>
    <w:basedOn w:val="901"/>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Plain Table 1"/>
    <w:basedOn w:val="901"/>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Plain Table 2"/>
    <w:basedOn w:val="901"/>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Plain Table 3"/>
    <w:basedOn w:val="901"/>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Plain Table 4"/>
    <w:basedOn w:val="901"/>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Plain Table 5"/>
    <w:basedOn w:val="901"/>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Grid Table 1 Light"/>
    <w:basedOn w:val="901"/>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customStyle="1">
    <w:name w:val="Grid Table 1 Light - Accent 1"/>
    <w:basedOn w:val="901"/>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1acdc"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customStyle="1">
    <w:name w:val="Grid Table 1 Light - Accent 2"/>
    <w:basedOn w:val="901"/>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4b28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customStyle="1">
    <w:name w:val="Grid Table 1 Light - Accent 3"/>
    <w:basedOn w:val="901"/>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acaca"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customStyle="1">
    <w:name w:val="Grid Table 1 Light - Accent 4"/>
    <w:basedOn w:val="901"/>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da6a"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customStyle="1">
    <w:name w:val="Grid Table 1 Light - Accent 5"/>
    <w:basedOn w:val="901"/>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ec4e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customStyle="1">
    <w:name w:val="Grid Table 1 Light - Accent 6"/>
    <w:basedOn w:val="901"/>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aad19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Grid Table 2"/>
    <w:basedOn w:val="901"/>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Grid Table 2 - Accent 1"/>
    <w:basedOn w:val="901"/>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customStyle="1">
    <w:name w:val="Grid Table 2 - Accent 2"/>
    <w:basedOn w:val="901"/>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Grid Table 2 - Accent 3"/>
    <w:basedOn w:val="901"/>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customStyle="1">
    <w:name w:val="Grid Table 2 - Accent 4"/>
    <w:basedOn w:val="901"/>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customStyle="1">
    <w:name w:val="Grid Table 2 - Accent 5"/>
    <w:basedOn w:val="901"/>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Grid Table 2 - Accent 6"/>
    <w:basedOn w:val="901"/>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Grid Table 3"/>
    <w:basedOn w:val="901"/>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Grid Table 3 - Accent 1"/>
    <w:basedOn w:val="901"/>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customStyle="1">
    <w:name w:val="Grid Table 3 - Accent 2"/>
    <w:basedOn w:val="901"/>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Grid Table 3 - Accent 3"/>
    <w:basedOn w:val="901"/>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Grid Table 3 - Accent 4"/>
    <w:basedOn w:val="901"/>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Grid Table 3 - Accent 5"/>
    <w:basedOn w:val="901"/>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Grid Table 3 - Accent 6"/>
    <w:basedOn w:val="901"/>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Grid Table 4"/>
    <w:basedOn w:val="901"/>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4 - Accent 1"/>
    <w:basedOn w:val="901"/>
    <w:uiPriority w:val="5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37dc8"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Grid Table 4 - Accent 2"/>
    <w:basedOn w:val="901"/>
    <w:uiPriority w:val="5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Grid Table 4 - Accent 3"/>
    <w:basedOn w:val="901"/>
    <w:uiPriority w:val="5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Grid Table 4 - Accent 4"/>
    <w:basedOn w:val="901"/>
    <w:uiPriority w:val="5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4 - Accent 5"/>
    <w:basedOn w:val="901"/>
    <w:uiPriority w:val="5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4 - Accent 6"/>
    <w:basedOn w:val="901"/>
    <w:uiPriority w:val="5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Grid Table 5 Dark"/>
    <w:basedOn w:val="90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5 Dark- Accent 1"/>
    <w:basedOn w:val="90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cPr>
      <w:tcBorders/>
    </w:tcPr>
    <w:tblStylePr w:type="band1Horz">
      <w:pPr>
        <w:pBdr/>
        <w:spacing/>
        <w:ind/>
      </w:pPr>
      <w:tblPr>
        <w:tblBorders/>
      </w:tblPr>
      <w:tcPr>
        <w:shd w:val="clear" w:color="a9bee4" w:themeColor="accent1" w:themeTint="75" w:fill="a9bee4" w:themeFill="accent1" w:themeFillTint="75"/>
        <w:tcBorders/>
      </w:tcPr>
    </w:tblStylePr>
    <w:tblStylePr w:type="band1Vert">
      <w:pPr>
        <w:pBdr/>
        <w:spacing/>
        <w:ind/>
      </w:pPr>
      <w:tblPr>
        <w:tblBorders/>
      </w:tblPr>
      <w:tcPr>
        <w:shd w:val="clear" w:color="a9bee4"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472c4" w:themeColor="accent1" w:fill="4472c4" w:themeFill="accent1"/>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rFonts w:ascii="Arial" w:hAnsi="Arial"/>
        <w:b/>
        <w:color w:val="ffffff"/>
        <w:sz w:val="22"/>
      </w:rPr>
      <w:pPr>
        <w:pBdr/>
        <w:spacing/>
        <w:ind/>
      </w:pPr>
      <w:tblPr>
        <w:tblBorders/>
      </w:tblPr>
      <w:tcPr>
        <w:shd w:val="clear" w:color="4472c4" w:themeColor="accent1" w:fill="4472c4" w:themeFill="accent1"/>
        <w:tcBorders/>
      </w:tcPr>
    </w:tblStylePr>
    <w:tblStylePr w:type="lastRow">
      <w:rPr>
        <w:rFonts w:ascii="Arial" w:hAnsi="Arial"/>
        <w:b/>
        <w:color w:val="ffffff"/>
        <w:sz w:val="22"/>
      </w:rPr>
      <w:pPr>
        <w:pBdr/>
        <w:spacing/>
        <w:ind/>
      </w:pPr>
      <w:tblPr>
        <w:tblBorders/>
      </w:tblPr>
      <w:tcPr>
        <w:shd w:val="clear" w:color="4472c4" w:themeColor="accent1" w:fill="4472c4"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Grid Table 5 Dark - Accent 2"/>
    <w:basedOn w:val="90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cPr>
      <w:tcBorders/>
    </w:tcPr>
    <w:tblStylePr w:type="band1Horz">
      <w:pPr>
        <w:pBdr/>
        <w:spacing/>
        <w:ind/>
      </w:pPr>
      <w:tblPr>
        <w:tblBorders/>
      </w:tblPr>
      <w:tcPr>
        <w:shd w:val="clear" w:color="f6c3a0" w:themeColor="accent2" w:themeTint="75" w:fill="f6c3a0" w:themeFill="accent2" w:themeFillTint="75"/>
        <w:tcBorders/>
      </w:tcPr>
    </w:tblStylePr>
    <w:tblStylePr w:type="band1Vert">
      <w:pPr>
        <w:pBdr/>
        <w:spacing/>
        <w:ind/>
      </w:pPr>
      <w:tblPr>
        <w:tblBorders/>
      </w:tblPr>
      <w:tcPr>
        <w:shd w:val="clear" w:color="f6c3a0" w:themeColor="accent2" w:themeTint="75" w:fill="f6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d7d31" w:themeColor="accent2" w:fill="ed7d31" w:themeFill="accent2"/>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rFonts w:ascii="Arial" w:hAnsi="Arial"/>
        <w:b/>
        <w:color w:val="ffffff"/>
        <w:sz w:val="22"/>
      </w:rPr>
      <w:pPr>
        <w:pBdr/>
        <w:spacing/>
        <w:ind/>
      </w:pPr>
      <w:tblPr>
        <w:tblBorders/>
      </w:tblPr>
      <w:tcPr>
        <w:shd w:val="clear" w:color="ed7d31" w:themeColor="accent2" w:fill="ed7d31" w:themeFill="accent2"/>
        <w:tcBorders/>
      </w:tcPr>
    </w:tblStylePr>
    <w:tblStylePr w:type="lastRow">
      <w:rPr>
        <w:rFonts w:ascii="Arial" w:hAnsi="Arial"/>
        <w:b/>
        <w:color w:val="ffffff"/>
        <w:sz w:val="22"/>
      </w:rPr>
      <w:pPr>
        <w:pBdr/>
        <w:spacing/>
        <w:ind/>
      </w:pPr>
      <w:tblPr>
        <w:tblBorders/>
      </w:tblPr>
      <w:tcPr>
        <w:shd w:val="clear" w:color="ed7d31" w:themeColor="accent2" w:fill="ed7d31"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Grid Table 5 Dark - Accent 3"/>
    <w:basedOn w:val="90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cPr>
      <w:tcBorders/>
    </w:tcPr>
    <w:tblStylePr w:type="band1Horz">
      <w:pPr>
        <w:pBdr/>
        <w:spacing/>
        <w:ind/>
      </w:pPr>
      <w:tblPr>
        <w:tblBorders/>
      </w:tblPr>
      <w:tcPr>
        <w:shd w:val="clear" w:color="d5d5d5" w:themeColor="accent3" w:themeTint="75" w:fill="d5d5d5" w:themeFill="accent3" w:themeFillTint="75"/>
        <w:tcBorders/>
      </w:tcPr>
    </w:tblStylePr>
    <w:tblStylePr w:type="band1Vert">
      <w:pPr>
        <w:pBdr/>
        <w:spacing/>
        <w:ind/>
      </w:pPr>
      <w:tblPr>
        <w:tblBorders/>
      </w:tblPr>
      <w:tcPr>
        <w:shd w:val="clear" w:color="d5d5d5" w:themeColor="accent3" w:themeTint="75" w:fill="d5d5d5"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a5a5a5" w:themeColor="accent3" w:fill="a5a5a5" w:themeFill="accent3"/>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rFonts w:ascii="Arial" w:hAnsi="Arial"/>
        <w:b/>
        <w:color w:val="ffffff"/>
        <w:sz w:val="22"/>
      </w:rPr>
      <w:pPr>
        <w:pBdr/>
        <w:spacing/>
        <w:ind/>
      </w:pPr>
      <w:tblPr>
        <w:tblBorders/>
      </w:tblPr>
      <w:tcPr>
        <w:shd w:val="clear" w:color="a5a5a5" w:themeColor="accent3" w:fill="a5a5a5" w:themeFill="accent3"/>
        <w:tcBorders/>
      </w:tcPr>
    </w:tblStylePr>
    <w:tblStylePr w:type="lastRow">
      <w:rPr>
        <w:rFonts w:ascii="Arial" w:hAnsi="Arial"/>
        <w:b/>
        <w:color w:val="ffffff"/>
        <w:sz w:val="22"/>
      </w:rPr>
      <w:pPr>
        <w:pBdr/>
        <w:spacing/>
        <w:ind/>
      </w:pPr>
      <w:tblPr>
        <w:tblBorders/>
      </w:tblPr>
      <w:tcPr>
        <w:shd w:val="clear" w:color="a5a5a5" w:themeColor="accent3" w:fill="a5a5a5"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Grid Table 5 Dark- Accent 4"/>
    <w:basedOn w:val="90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cPr>
      <w:tcBorders/>
    </w:tcPr>
    <w:tblStylePr w:type="band1Horz">
      <w:pPr>
        <w:pBdr/>
        <w:spacing/>
        <w:ind/>
      </w:pPr>
      <w:tblPr>
        <w:tblBorders/>
      </w:tblPr>
      <w:tcPr>
        <w:shd w:val="clear" w:color="ffe28a" w:themeColor="accent4" w:themeTint="75" w:fill="ffe28a" w:themeFill="accent4" w:themeFillTint="75"/>
        <w:tcBorders/>
      </w:tcPr>
    </w:tblStylePr>
    <w:tblStylePr w:type="band1Vert">
      <w:pPr>
        <w:pBdr/>
        <w:spacing/>
        <w:ind/>
      </w:pPr>
      <w:tblPr>
        <w:tblBorders/>
      </w:tblPr>
      <w:tcPr>
        <w:shd w:val="clear" w:color="ffe28a"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c000" w:themeColor="accent4" w:fill="ffc000" w:themeFill="accent4"/>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rFonts w:ascii="Arial" w:hAnsi="Arial"/>
        <w:b/>
        <w:color w:val="ffffff"/>
        <w:sz w:val="22"/>
      </w:rPr>
      <w:pPr>
        <w:pBdr/>
        <w:spacing/>
        <w:ind/>
      </w:pPr>
      <w:tblPr>
        <w:tblBorders/>
      </w:tblPr>
      <w:tcPr>
        <w:shd w:val="clear" w:color="ffc000" w:themeColor="accent4" w:fill="ffc000" w:themeFill="accent4"/>
        <w:tcBorders/>
      </w:tcPr>
    </w:tblStylePr>
    <w:tblStylePr w:type="lastRow">
      <w:rPr>
        <w:rFonts w:ascii="Arial" w:hAnsi="Arial"/>
        <w:b/>
        <w:color w:val="ffffff"/>
        <w:sz w:val="22"/>
      </w:rPr>
      <w:pPr>
        <w:pBdr/>
        <w:spacing/>
        <w:ind/>
      </w:pPr>
      <w:tblPr>
        <w:tblBorders/>
      </w:tblPr>
      <w:tcPr>
        <w:shd w:val="clear" w:color="ffc000" w:themeColor="accent4" w:fill="ffc000"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Grid Table 5 Dark - Accent 5"/>
    <w:basedOn w:val="90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cPr>
      <w:tcBorders/>
    </w:tcPr>
    <w:tblStylePr w:type="band1Horz">
      <w:pPr>
        <w:pBdr/>
        <w:spacing/>
        <w:ind/>
      </w:pPr>
      <w:tblPr>
        <w:tblBorders/>
      </w:tblPr>
      <w:tcPr>
        <w:shd w:val="clear" w:color="b3d0eb" w:themeColor="accent5" w:themeTint="75" w:fill="b3d0eb" w:themeFill="accent5" w:themeFillTint="75"/>
        <w:tcBorders/>
      </w:tcPr>
    </w:tblStylePr>
    <w:tblStylePr w:type="band1Vert">
      <w:pPr>
        <w:pBdr/>
        <w:spacing/>
        <w:ind/>
      </w:pPr>
      <w:tblPr>
        <w:tblBorders/>
      </w:tblPr>
      <w:tcPr>
        <w:shd w:val="clear" w:color="b3d0eb" w:themeColor="accent5" w:themeTint="75" w:fill="b3d0eb"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5b9bd5" w:themeColor="accent5" w:fill="5b9bd5" w:themeFill="accent5"/>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rFonts w:ascii="Arial" w:hAnsi="Arial"/>
        <w:b/>
        <w:color w:val="ffffff"/>
        <w:sz w:val="22"/>
      </w:rPr>
      <w:pPr>
        <w:pBdr/>
        <w:spacing/>
        <w:ind/>
      </w:pPr>
      <w:tblPr>
        <w:tblBorders/>
      </w:tblPr>
      <w:tcPr>
        <w:shd w:val="clear" w:color="5b9bd5" w:themeColor="accent5" w:fill="5b9bd5" w:themeFill="accent5"/>
        <w:tcBorders/>
      </w:tcPr>
    </w:tblStylePr>
    <w:tblStylePr w:type="lastRow">
      <w:rPr>
        <w:rFonts w:ascii="Arial" w:hAnsi="Arial"/>
        <w:b/>
        <w:color w:val="ffffff"/>
        <w:sz w:val="22"/>
      </w:rPr>
      <w:pPr>
        <w:pBdr/>
        <w:spacing/>
        <w:ind/>
      </w:pPr>
      <w:tblPr>
        <w:tblBorders/>
      </w:tblPr>
      <w:tcPr>
        <w:shd w:val="clear" w:color="5b9bd5" w:themeColor="accent5" w:fill="5b9bd5"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Grid Table 5 Dark - Accent 6"/>
    <w:basedOn w:val="90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cPr>
      <w:tcBorders/>
    </w:tcPr>
    <w:tblStylePr w:type="band1Horz">
      <w:pPr>
        <w:pBdr/>
        <w:spacing/>
        <w:ind/>
      </w:pPr>
      <w:tblPr>
        <w:tblBorders/>
      </w:tblPr>
      <w:tcPr>
        <w:shd w:val="clear" w:color="bcdba8" w:themeColor="accent6" w:themeTint="75" w:fill="bcdba8" w:themeFill="accent6" w:themeFillTint="75"/>
        <w:tcBorders/>
      </w:tcPr>
    </w:tblStylePr>
    <w:tblStylePr w:type="band1Vert">
      <w:pPr>
        <w:pBdr/>
        <w:spacing/>
        <w:ind/>
      </w:pPr>
      <w:tblPr>
        <w:tblBorders/>
      </w:tblPr>
      <w:tcPr>
        <w:shd w:val="clear" w:color="bcdba8" w:themeColor="accent6" w:themeTint="75" w:fill="bc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70ad47" w:themeColor="accent6" w:fill="70ad47" w:themeFill="accent6"/>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rFonts w:ascii="Arial" w:hAnsi="Arial"/>
        <w:b/>
        <w:color w:val="ffffff"/>
        <w:sz w:val="22"/>
      </w:rPr>
      <w:pPr>
        <w:pBdr/>
        <w:spacing/>
        <w:ind/>
      </w:pPr>
      <w:tblPr>
        <w:tblBorders/>
      </w:tblPr>
      <w:tcPr>
        <w:shd w:val="clear" w:color="70ad47" w:themeColor="accent6" w:fill="70ad47" w:themeFill="accent6"/>
        <w:tcBorders/>
      </w:tcPr>
    </w:tblStylePr>
    <w:tblStylePr w:type="lastRow">
      <w:rPr>
        <w:rFonts w:ascii="Arial" w:hAnsi="Arial"/>
        <w:b/>
        <w:color w:val="ffffff"/>
        <w:sz w:val="22"/>
      </w:rPr>
      <w:pPr>
        <w:pBdr/>
        <w:spacing/>
        <w:ind/>
      </w:pPr>
      <w:tblPr>
        <w:tblBorders/>
      </w:tblPr>
      <w:tcPr>
        <w:shd w:val="clear" w:color="70ad47" w:themeColor="accent6" w:fill="70ad47"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Grid Table 6 Colorful"/>
    <w:basedOn w:val="901"/>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Grid Table 6 Colorful - Accent 1"/>
    <w:basedOn w:val="901"/>
    <w:uiPriority w:val="99"/>
    <w:pPr>
      <w:pBdr/>
      <w:spacing w:after="0" w:line="240" w:lineRule="auto"/>
      <w:ind/>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0b7e1" w:themeColor="accent1" w:themeTint="80" w:themeShade="95"/>
      </w:rPr>
      <w:pPr>
        <w:pBdr/>
        <w:spacing/>
        <w:ind/>
      </w:pPr>
      <w:tblPr>
        <w:tblBorders/>
      </w:tblPr>
      <w:tcPr>
        <w:tcBorders/>
      </w:tcPr>
    </w:tblStylePr>
    <w:tblStylePr w:type="firstRow">
      <w:rPr>
        <w:b/>
        <w:color w:val="a0b7e1" w:themeColor="accent1" w:themeTint="80" w:themeShade="95"/>
      </w:rPr>
      <w:pPr>
        <w:pBdr/>
        <w:spacing/>
        <w:ind/>
      </w:pPr>
      <w:tblPr>
        <w:tblBorders/>
      </w:tblPr>
      <w:tcPr>
        <w:tcBorders>
          <w:bottom w:val="single" w:color="a0b7e1" w:themeColor="accent1" w:themeTint="80" w:sz="12" w:space="0"/>
        </w:tcBorders>
      </w:tcPr>
    </w:tblStylePr>
    <w:tblStylePr w:type="lastCol">
      <w:rPr>
        <w:b/>
        <w:color w:val="a0b7e1" w:themeColor="accent1" w:themeTint="80" w:themeShade="95"/>
      </w:rPr>
      <w:pPr>
        <w:pBdr/>
        <w:spacing/>
        <w:ind/>
      </w:pPr>
      <w:tblPr>
        <w:tblBorders/>
      </w:tblPr>
      <w:tcPr>
        <w:tcBorders/>
      </w:tcPr>
    </w:tblStylePr>
    <w:tblStylePr w:type="lastRow">
      <w:rPr>
        <w:b/>
        <w:color w:val="a0b7e1"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Grid Table 6 Colorful - Accent 2"/>
    <w:basedOn w:val="901"/>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12"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Grid Table 6 Colorful - Accent 3"/>
    <w:basedOn w:val="901"/>
    <w:uiPriority w:val="99"/>
    <w:pPr>
      <w:pBdr/>
      <w:spacing w:after="0" w:line="240" w:lineRule="auto"/>
      <w:ind/>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5a5a5" w:themeColor="accent3" w:themeTint="FE" w:themeShade="95"/>
      </w:rPr>
      <w:pPr>
        <w:pBdr/>
        <w:spacing/>
        <w:ind/>
      </w:pPr>
      <w:tblPr>
        <w:tblBorders/>
      </w:tblPr>
      <w:tcPr>
        <w:tcBorders/>
      </w:tcPr>
    </w:tblStylePr>
    <w:tblStylePr w:type="firstRow">
      <w:rPr>
        <w:b/>
        <w:color w:val="a5a5a5" w:themeColor="accent3" w:themeTint="FE" w:themeShade="95"/>
      </w:rPr>
      <w:pPr>
        <w:pBdr/>
        <w:spacing/>
        <w:ind/>
      </w:pPr>
      <w:tblPr>
        <w:tblBorders/>
      </w:tblPr>
      <w:tcPr>
        <w:tcBorders>
          <w:bottom w:val="single" w:color="a5a5a5" w:themeColor="accent3" w:themeTint="FE" w:sz="12" w:space="0"/>
        </w:tcBorders>
      </w:tcPr>
    </w:tblStylePr>
    <w:tblStylePr w:type="lastCol">
      <w:rPr>
        <w:b/>
        <w:color w:val="a5a5a5" w:themeColor="accent3" w:themeTint="FE" w:themeShade="95"/>
      </w:rPr>
      <w:pPr>
        <w:pBdr/>
        <w:spacing/>
        <w:ind/>
      </w:pPr>
      <w:tblPr>
        <w:tblBorders/>
      </w:tblPr>
      <w:tcPr>
        <w:tcBorders/>
      </w:tcPr>
    </w:tblStylePr>
    <w:tblStylePr w:type="lastRow">
      <w:rPr>
        <w:b/>
        <w:color w:val="a5a5a5"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Grid Table 6 Colorful - Accent 4"/>
    <w:basedOn w:val="901"/>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12"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Grid Table 6 Colorful - Accent 5"/>
    <w:basedOn w:val="901"/>
    <w:uiPriority w:val="99"/>
    <w:pPr>
      <w:pBdr/>
      <w:spacing w:after="0" w:line="240" w:lineRule="auto"/>
      <w:ind/>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5b9bd5" w:themeColor="accent5"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Grid Table 6 Colorful - Accent 6"/>
    <w:basedOn w:val="901"/>
    <w:uiPriority w:val="99"/>
    <w:pPr>
      <w:pBdr/>
      <w:spacing w:after="0" w:line="240" w:lineRule="auto"/>
      <w:ind/>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245a8d" w:themeColor="accent5"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70ad47" w:themeColor="accent6"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Grid Table 7 Colorful"/>
    <w:basedOn w:val="901"/>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Grid Table 7 Colorful - Accent 1"/>
    <w:basedOn w:val="901"/>
    <w:uiPriority w:val="99"/>
    <w:pPr>
      <w:pBdr/>
      <w:spacing w:after="0" w:line="240" w:lineRule="auto"/>
      <w:ind/>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0b7e1"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0b7e1" w:themeColor="accent1" w:themeTint="80" w:sz="4" w:space="0"/>
        </w:tcBorders>
      </w:tcPr>
    </w:tblStylePr>
    <w:tblStylePr w:type="fir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0b7e1" w:themeColor="accent1" w:themeTint="80" w:sz="4" w:space="0"/>
          <w:right w:val="none" w:color="000000" w:sz="0" w:space="0"/>
        </w:tcBorders>
      </w:tcPr>
    </w:tblStylePr>
    <w:tblStylePr w:type="lastCol">
      <w:rPr>
        <w:rFonts w:ascii="Arial" w:hAnsi="Arial"/>
        <w:i/>
        <w:color w:val="a0b7e1" w:themeColor="accent1" w:themeTint="80" w:themeShade="95"/>
        <w:sz w:val="22"/>
      </w:rPr>
      <w:pPr>
        <w:pBdr/>
        <w:spacing/>
        <w:ind/>
      </w:pPr>
      <w:tblPr>
        <w:tblBorders/>
      </w:tblPr>
      <w:tcPr>
        <w:shd w:val="clear" w:color="ffffff" w:fill="auto"/>
        <w:tcBorders>
          <w:top w:val="none" w:color="000000" w:sz="0" w:space="0"/>
          <w:left w:val="single" w:color="a0b7e1" w:themeColor="accent1" w:themeTint="80" w:sz="4" w:space="0"/>
          <w:bottom w:val="none" w:color="000000" w:sz="0" w:space="0"/>
          <w:right w:val="none" w:color="000000" w:sz="0" w:space="0"/>
        </w:tcBorders>
      </w:tcPr>
    </w:tblStylePr>
    <w:tblStylePr w:type="la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single" w:color="a0b7e1"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Grid Table 7 Colorful - Accent 2"/>
    <w:basedOn w:val="901"/>
    <w:uiPriority w:val="99"/>
    <w:pPr>
      <w:pBdr/>
      <w:spacing w:after="0" w:line="240" w:lineRule="auto"/>
      <w:ind/>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Grid Table 7 Colorful - Accent 3"/>
    <w:basedOn w:val="901"/>
    <w:uiPriority w:val="99"/>
    <w:pPr>
      <w:pBdr/>
      <w:spacing w:after="0" w:line="240" w:lineRule="auto"/>
      <w:ind/>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5a5a5"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5a5a5" w:themeColor="accent3" w:themeTint="FE" w:sz="4" w:space="0"/>
        </w:tcBorders>
      </w:tcPr>
    </w:tblStylePr>
    <w:tblStylePr w:type="fir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5a5a5" w:themeColor="accent3" w:themeTint="FE" w:sz="4" w:space="0"/>
          <w:right w:val="none" w:color="000000" w:sz="0" w:space="0"/>
        </w:tcBorders>
      </w:tcPr>
    </w:tblStylePr>
    <w:tblStylePr w:type="lastCol">
      <w:rPr>
        <w:rFonts w:ascii="Arial" w:hAnsi="Arial"/>
        <w:i/>
        <w:color w:val="a5a5a5" w:themeColor="accent3" w:themeTint="FE" w:themeShade="95"/>
        <w:sz w:val="22"/>
      </w:rPr>
      <w:pPr>
        <w:pBdr/>
        <w:spacing/>
        <w:ind/>
      </w:pPr>
      <w:tblPr>
        <w:tblBorders/>
      </w:tblPr>
      <w:tcPr>
        <w:shd w:val="clear" w:color="ffffff" w:fill="auto"/>
        <w:tcBorders>
          <w:top w:val="none" w:color="000000" w:sz="0" w:space="0"/>
          <w:left w:val="single" w:color="a5a5a5" w:themeColor="accent3" w:themeTint="FE" w:sz="4" w:space="0"/>
          <w:bottom w:val="none" w:color="000000" w:sz="0" w:space="0"/>
          <w:right w:val="none" w:color="000000" w:sz="0" w:space="0"/>
        </w:tcBorders>
      </w:tcPr>
    </w:tblStylePr>
    <w:tblStylePr w:type="la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single" w:color="a5a5a5"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Grid Table 7 Colorful - Accent 4"/>
    <w:basedOn w:val="901"/>
    <w:uiPriority w:val="99"/>
    <w:pPr>
      <w:pBdr/>
      <w:spacing w:after="0" w:line="240" w:lineRule="auto"/>
      <w:ind/>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Grid Table 7 Colorful - Accent 5"/>
    <w:basedOn w:val="901"/>
    <w:uiPriority w:val="99"/>
    <w:pPr>
      <w:pBdr/>
      <w:spacing w:after="0" w:line="240" w:lineRule="auto"/>
      <w:ind/>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a8d"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2c6e7" w:themeColor="accent5" w:themeTint="90" w:sz="4" w:space="0"/>
        </w:tcBorders>
      </w:tcPr>
    </w:tblStylePr>
    <w:tblStylePr w:type="firstRow">
      <w:rPr>
        <w:rFonts w:ascii="Arial" w:hAnsi="Arial"/>
        <w:b/>
        <w:color w:val="245a8d"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2c6e7" w:themeColor="accent5" w:themeTint="90" w:sz="4" w:space="0"/>
          <w:right w:val="none" w:color="000000" w:sz="0" w:space="0"/>
        </w:tcBorders>
      </w:tcPr>
    </w:tblStylePr>
    <w:tblStylePr w:type="lastCol">
      <w:rPr>
        <w:rFonts w:ascii="Arial" w:hAnsi="Arial"/>
        <w:i/>
        <w:color w:val="245a8d" w:themeColor="accent5" w:themeShade="95"/>
        <w:sz w:val="22"/>
      </w:rPr>
      <w:pPr>
        <w:pBdr/>
        <w:spacing/>
        <w:ind/>
      </w:pPr>
      <w:tblPr>
        <w:tblBorders/>
      </w:tblPr>
      <w:tcPr>
        <w:shd w:val="clear" w:color="ffffff" w:fill="auto"/>
        <w:tcBorders>
          <w:top w:val="none" w:color="000000" w:sz="0" w:space="0"/>
          <w:left w:val="single" w:color="a2c6e7" w:themeColor="accent5" w:themeTint="90" w:sz="4" w:space="0"/>
          <w:bottom w:val="none" w:color="000000" w:sz="0" w:space="0"/>
          <w:right w:val="none" w:color="000000" w:sz="0" w:space="0"/>
        </w:tcBorders>
      </w:tcPr>
    </w:tblStylePr>
    <w:tblStylePr w:type="lastRow">
      <w:rPr>
        <w:rFonts w:ascii="Arial" w:hAnsi="Arial"/>
        <w:b/>
        <w:color w:val="245a8d" w:themeColor="accent5" w:themeShade="95"/>
        <w:sz w:val="22"/>
      </w:rPr>
      <w:pPr>
        <w:pBdr/>
        <w:spacing/>
        <w:ind/>
      </w:pPr>
      <w:tblPr>
        <w:tblBorders/>
      </w:tblPr>
      <w:tcPr>
        <w:shd w:val="clear" w:color="ffffff" w:themeColor="light1" w:fill="ffffff" w:themeFill="light1"/>
        <w:tcBorders>
          <w:top w:val="single" w:color="a2c6e7"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Grid Table 7 Colorful - Accent 6"/>
    <w:basedOn w:val="901"/>
    <w:uiPriority w:val="99"/>
    <w:pPr>
      <w:pBdr/>
      <w:spacing w:after="0" w:line="240" w:lineRule="auto"/>
      <w:ind/>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16429" w:themeColor="accent6"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41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429"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dd394" w:themeColor="accent6" w:themeTint="90" w:sz="4" w:space="0"/>
        </w:tcBorders>
      </w:tcPr>
    </w:tblStylePr>
    <w:tblStylePr w:type="firstRow">
      <w:rPr>
        <w:rFonts w:ascii="Arial" w:hAnsi="Arial"/>
        <w:b/>
        <w:color w:val="416429"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dd394" w:themeColor="accent6" w:themeTint="90" w:sz="4" w:space="0"/>
          <w:right w:val="none" w:color="000000" w:sz="0" w:space="0"/>
        </w:tcBorders>
      </w:tcPr>
    </w:tblStylePr>
    <w:tblStylePr w:type="lastCol">
      <w:rPr>
        <w:rFonts w:ascii="Arial" w:hAnsi="Arial"/>
        <w:i/>
        <w:color w:val="416429" w:themeColor="accent6" w:themeShade="95"/>
        <w:sz w:val="22"/>
      </w:rPr>
      <w:pPr>
        <w:pBdr/>
        <w:spacing/>
        <w:ind/>
      </w:pPr>
      <w:tblPr>
        <w:tblBorders/>
      </w:tblPr>
      <w:tcPr>
        <w:shd w:val="clear" w:color="ffffff" w:fill="auto"/>
        <w:tcBorders>
          <w:top w:val="none" w:color="000000" w:sz="0" w:space="0"/>
          <w:left w:val="single" w:color="add394" w:themeColor="accent6" w:themeTint="90" w:sz="4" w:space="0"/>
          <w:bottom w:val="none" w:color="000000" w:sz="0" w:space="0"/>
          <w:right w:val="none" w:color="000000" w:sz="0" w:space="0"/>
        </w:tcBorders>
      </w:tcPr>
    </w:tblStylePr>
    <w:tblStylePr w:type="lastRow">
      <w:rPr>
        <w:rFonts w:ascii="Arial" w:hAnsi="Arial"/>
        <w:b/>
        <w:color w:val="416429" w:themeColor="accent6" w:themeShade="95"/>
        <w:sz w:val="22"/>
      </w:rPr>
      <w:pPr>
        <w:pBdr/>
        <w:spacing/>
        <w:ind/>
      </w:pPr>
      <w:tblPr>
        <w:tblBorders/>
      </w:tblPr>
      <w:tcPr>
        <w:shd w:val="clear" w:color="ffffff" w:themeColor="light1" w:fill="ffffff" w:themeFill="light1"/>
        <w:tcBorders>
          <w:top w:val="single" w:color="add39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List Table 1 Light"/>
    <w:basedOn w:val="90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List Table 1 Light - Accent 1"/>
    <w:basedOn w:val="90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472c4"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List Table 1 Light - Accent 2"/>
    <w:basedOn w:val="90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d7d31"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List Table 1 Light - Accent 3"/>
    <w:basedOn w:val="90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List Table 1 Light - Accent 4"/>
    <w:basedOn w:val="90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c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List Table 1 Light - Accent 5"/>
    <w:basedOn w:val="90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List Table 1 Light - Accent 6"/>
    <w:basedOn w:val="90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List Table 2"/>
    <w:basedOn w:val="901"/>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List Table 2 - Accent 1"/>
    <w:basedOn w:val="901"/>
    <w:uiPriority w:val="99"/>
    <w:pPr>
      <w:pBdr/>
      <w:spacing w:after="0" w:line="240" w:lineRule="auto"/>
      <w:ind/>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List Table 2 - Accent 2"/>
    <w:basedOn w:val="901"/>
    <w:uiPriority w:val="99"/>
    <w:pPr>
      <w:pBdr/>
      <w:spacing w:after="0" w:line="240" w:lineRule="auto"/>
      <w:ind/>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List Table 2 - Accent 3"/>
    <w:basedOn w:val="901"/>
    <w:uiPriority w:val="99"/>
    <w:pPr>
      <w:pBdr/>
      <w:spacing w:after="0" w:line="240" w:lineRule="auto"/>
      <w:ind/>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List Table 2 - Accent 4"/>
    <w:basedOn w:val="901"/>
    <w:uiPriority w:val="99"/>
    <w:pPr>
      <w:pBdr/>
      <w:spacing w:after="0" w:line="240" w:lineRule="auto"/>
      <w:ind/>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List Table 2 - Accent 5"/>
    <w:basedOn w:val="901"/>
    <w:uiPriority w:val="99"/>
    <w:pPr>
      <w:pBdr/>
      <w:spacing w:after="0" w:line="240" w:lineRule="auto"/>
      <w:ind/>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List Table 2 - Accent 6"/>
    <w:basedOn w:val="901"/>
    <w:uiPriority w:val="99"/>
    <w:pPr>
      <w:pBdr/>
      <w:spacing w:after="0" w:line="240" w:lineRule="auto"/>
      <w:ind/>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name w:val="List Table 3"/>
    <w:basedOn w:val="901"/>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List Table 3 - Accent 1"/>
    <w:basedOn w:val="901"/>
    <w:uiPriority w:val="99"/>
    <w:pPr>
      <w:pBdr/>
      <w:spacing w:after="0" w:line="240" w:lineRule="auto"/>
      <w:ind/>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cPr>
      <w:tcBorders/>
    </w:tcPr>
    <w:tblStylePr w:type="band1Horz">
      <w:rPr>
        <w:rFonts w:ascii="Arial" w:hAnsi="Arial"/>
        <w:color w:val="404040"/>
        <w:sz w:val="22"/>
      </w:rPr>
      <w:pPr>
        <w:pBdr/>
        <w:spacing/>
        <w:ind/>
      </w:pPr>
      <w:tblPr>
        <w:tblBorders/>
      </w:tblPr>
      <w:tcPr>
        <w:tcBorders>
          <w:top w:val="single" w:color="4472c4" w:themeColor="accent1" w:sz="4" w:space="0"/>
          <w:bottom w:val="single" w:color="4472c4" w:themeColor="accent1" w:sz="4" w:space="0"/>
        </w:tcBorders>
      </w:tcPr>
    </w:tblStylePr>
    <w:tblStylePr w:type="band1Vert">
      <w:rPr>
        <w:rFonts w:ascii="Arial" w:hAnsi="Arial"/>
        <w:color w:val="404040"/>
        <w:sz w:val="22"/>
      </w:rPr>
      <w:pPr>
        <w:pBdr/>
        <w:spacing/>
        <w:ind/>
      </w:pPr>
      <w:tblPr>
        <w:tblBorders/>
      </w:tblPr>
      <w:tcPr>
        <w:tcBorders>
          <w:left w:val="single" w:color="4472c4" w:themeColor="accent1" w:sz="4" w:space="0"/>
          <w:right w:val="single" w:color="4472c4"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List Table 3 - Accent 2"/>
    <w:basedOn w:val="901"/>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pPr>
        <w:pBdr/>
        <w:spacing/>
        <w:ind/>
      </w:pPr>
      <w:tblPr>
        <w:tblBorders/>
      </w:tblPr>
      <w:tcPr>
        <w:tcBorders>
          <w:left w:val="single" w:color="f4b184" w:themeColor="accent2" w:themeTint="97" w:sz="4" w:space="0"/>
          <w:right w:val="single" w:color="f4b184"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List Table 3 - Accent 3"/>
    <w:basedOn w:val="901"/>
    <w:uiPriority w:val="99"/>
    <w:pPr>
      <w:pBdr/>
      <w:spacing w:after="0" w:line="240" w:lineRule="auto"/>
      <w:ind/>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pPr>
        <w:pBdr/>
        <w:spacing/>
        <w:ind/>
      </w:pPr>
      <w:tblPr>
        <w:tblBorders/>
      </w:tblPr>
      <w:tcPr>
        <w:tcBorders>
          <w:left w:val="single" w:color="c9c9c9" w:themeColor="accent3" w:themeTint="98" w:sz="4" w:space="0"/>
          <w:right w:val="single" w:color="c9c9c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9c9c9"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List Table 3 - Accent 4"/>
    <w:basedOn w:val="901"/>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pPr>
        <w:pBdr/>
        <w:spacing/>
        <w:ind/>
      </w:pPr>
      <w:tblPr>
        <w:tblBorders/>
      </w:tblPr>
      <w:tcPr>
        <w:tcBorders>
          <w:left w:val="single" w:color="ffd865" w:themeColor="accent4" w:themeTint="9A" w:sz="4" w:space="0"/>
          <w:right w:val="single" w:color="ffd865"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List Table 3 - Accent 5"/>
    <w:basedOn w:val="901"/>
    <w:uiPriority w:val="99"/>
    <w:pPr>
      <w:pBdr/>
      <w:spacing w:after="0" w:line="240" w:lineRule="auto"/>
      <w:ind/>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pPr>
        <w:pBdr/>
        <w:spacing/>
        <w:ind/>
      </w:pPr>
      <w:tblPr>
        <w:tblBorders/>
      </w:tblPr>
      <w:tcPr>
        <w:tcBorders>
          <w:left w:val="single" w:color="9bc2e5" w:themeColor="accent5" w:themeTint="9A" w:sz="4" w:space="0"/>
          <w:right w:val="single" w:color="9bc2e5"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c2e5" w:themeColor="accent5" w:themeTint="9A" w:fill="9bc2e5"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List Table 3 - Accent 6"/>
    <w:basedOn w:val="901"/>
    <w:uiPriority w:val="99"/>
    <w:pPr>
      <w:pBdr/>
      <w:spacing w:after="0" w:line="240" w:lineRule="auto"/>
      <w:ind/>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pPr>
        <w:pBdr/>
        <w:spacing/>
        <w:ind/>
      </w:pPr>
      <w:tblPr>
        <w:tblBorders/>
      </w:tblPr>
      <w:tcPr>
        <w:tcBorders>
          <w:left w:val="single" w:color="a9d08e" w:themeColor="accent6" w:themeTint="98" w:sz="4" w:space="0"/>
          <w:right w:val="single" w:color="a9d08e"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9d08e" w:themeColor="accent6" w:themeTint="98" w:fill="a9d08e"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name w:val="List Table 4"/>
    <w:basedOn w:val="901"/>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4 - Accent 1"/>
    <w:basedOn w:val="901"/>
    <w:uiPriority w:val="9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List Table 4 - Accent 2"/>
    <w:basedOn w:val="901"/>
    <w:uiPriority w:val="9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List Table 4 - Accent 3"/>
    <w:basedOn w:val="901"/>
    <w:uiPriority w:val="9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List Table 4 - Accent 4"/>
    <w:basedOn w:val="901"/>
    <w:uiPriority w:val="9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4 - Accent 5"/>
    <w:basedOn w:val="901"/>
    <w:uiPriority w:val="9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4 - Accent 6"/>
    <w:basedOn w:val="901"/>
    <w:uiPriority w:val="9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name w:val="List Table 5 Dark"/>
    <w:basedOn w:val="901"/>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st Table 5 Dark - Accent 1"/>
    <w:basedOn w:val="901"/>
    <w:uiPriority w:val="99"/>
    <w:pPr>
      <w:pBdr/>
      <w:spacing w:after="0" w:line="240" w:lineRule="auto"/>
      <w:ind/>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cPr>
      <w:tcBorders/>
    </w:tcPr>
    <w:tblStylePr w:type="band1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472c4" w:themeColor="accent1" w:fill="4472c4"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472c4" w:themeColor="accent1" w:fill="4472c4" w:themeFill="accent1"/>
        <w:tcBorders>
          <w:top w:val="single" w:color="4472c4"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List Table 5 Dark - Accent 2"/>
    <w:basedOn w:val="901"/>
    <w:uiPriority w:val="99"/>
    <w:pPr>
      <w:pBdr/>
      <w:spacing w:after="0" w:line="240" w:lineRule="auto"/>
      <w:ind/>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cPr>
      <w:tcBorders/>
    </w:tcPr>
    <w:tblStylePr w:type="band1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st Table 5 Dark - Accent 3"/>
    <w:basedOn w:val="901"/>
    <w:uiPriority w:val="99"/>
    <w:pPr>
      <w:pBdr/>
      <w:spacing w:after="0" w:line="240" w:lineRule="auto"/>
      <w:ind/>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cPr>
      <w:tcBorders/>
    </w:tcPr>
    <w:tblStylePr w:type="band1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List Table 5 Dark - Accent 4"/>
    <w:basedOn w:val="901"/>
    <w:uiPriority w:val="99"/>
    <w:pPr>
      <w:pBdr/>
      <w:spacing w:after="0" w:line="240" w:lineRule="auto"/>
      <w:ind/>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cPr>
      <w:tcBorders/>
    </w:tcPr>
    <w:tblStylePr w:type="band1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st Table 5 Dark - Accent 5"/>
    <w:basedOn w:val="901"/>
    <w:uiPriority w:val="99"/>
    <w:pPr>
      <w:pBdr/>
      <w:spacing w:after="0" w:line="240" w:lineRule="auto"/>
      <w:ind/>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cPr>
      <w:tcBorders/>
    </w:tcPr>
    <w:tblStylePr w:type="band1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st Table 5 Dark - Accent 6"/>
    <w:basedOn w:val="901"/>
    <w:uiPriority w:val="99"/>
    <w:pPr>
      <w:pBdr/>
      <w:spacing w:after="0" w:line="240" w:lineRule="auto"/>
      <w:ind/>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cPr>
      <w:tcBorders/>
    </w:tcPr>
    <w:tblStylePr w:type="band1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name w:val="List Table 6 Colorful"/>
    <w:basedOn w:val="901"/>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List Table 6 Colorful - Accent 1"/>
    <w:basedOn w:val="901"/>
    <w:uiPriority w:val="99"/>
    <w:pPr>
      <w:pBdr/>
      <w:spacing w:after="0" w:line="240" w:lineRule="auto"/>
      <w:ind/>
    </w:pPr>
    <w:tblPr>
      <w:tblStyleRowBandSize w:val="1"/>
      <w:tblStyleColBandSize w:val="1"/>
      <w:tblBorders>
        <w:top w:val="single" w:color="4472c4" w:themeColor="accent1" w:sz="4" w:space="0"/>
        <w:bottom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175" w:themeColor="accent1" w:themeShade="95"/>
      </w:rPr>
      <w:pPr>
        <w:pBdr/>
        <w:spacing/>
        <w:ind/>
      </w:pPr>
      <w:tblPr>
        <w:tblBorders/>
      </w:tblPr>
      <w:tcPr>
        <w:tcBorders/>
      </w:tcPr>
    </w:tblStylePr>
    <w:tblStylePr w:type="firstRow">
      <w:rPr>
        <w:b/>
        <w:color w:val="254175" w:themeColor="accent1" w:themeShade="95"/>
      </w:rPr>
      <w:pPr>
        <w:pBdr/>
        <w:spacing/>
        <w:ind/>
      </w:pPr>
      <w:tblPr>
        <w:tblBorders/>
      </w:tblPr>
      <w:tcPr>
        <w:tcBorders>
          <w:bottom w:val="single" w:color="4472c4" w:themeColor="accent1" w:sz="4" w:space="0"/>
        </w:tcBorders>
      </w:tcPr>
    </w:tblStylePr>
    <w:tblStylePr w:type="lastCol">
      <w:rPr>
        <w:b/>
        <w:color w:val="254175" w:themeColor="accent1" w:themeShade="95"/>
      </w:rPr>
      <w:pPr>
        <w:pBdr/>
        <w:spacing/>
        <w:ind/>
      </w:pPr>
      <w:tblPr>
        <w:tblBorders/>
      </w:tblPr>
      <w:tcPr>
        <w:tcBorders/>
      </w:tcPr>
    </w:tblStylePr>
    <w:tblStylePr w:type="lastRow">
      <w:rPr>
        <w:b/>
        <w:color w:val="254175" w:themeColor="accent1" w:themeShade="95"/>
      </w:rPr>
      <w:pPr>
        <w:pBdr/>
        <w:spacing/>
        <w:ind/>
      </w:pPr>
      <w:tblPr>
        <w:tblBorders/>
      </w:tblPr>
      <w:tcPr>
        <w:tcBorders>
          <w:top w:val="single" w:color="4472c4"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List Table 6 Colorful - Accent 2"/>
    <w:basedOn w:val="901"/>
    <w:uiPriority w:val="99"/>
    <w:pPr>
      <w:pBdr/>
      <w:spacing w:after="0" w:line="240" w:lineRule="auto"/>
      <w:ind/>
    </w:pPr>
    <w:tblPr>
      <w:tblStyleRowBandSize w:val="1"/>
      <w:tblStyleColBandSize w:val="1"/>
      <w:tblBorders>
        <w:top w:val="single" w:color="f4b184" w:themeColor="accent2" w:themeTint="97" w:sz="4" w:space="0"/>
        <w:bottom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4"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List Table 6 Colorful - Accent 3"/>
    <w:basedOn w:val="901"/>
    <w:uiPriority w:val="99"/>
    <w:pPr>
      <w:pBdr/>
      <w:spacing w:after="0" w:line="240" w:lineRule="auto"/>
      <w:ind/>
    </w:pPr>
    <w:tblPr>
      <w:tblStyleRowBandSize w:val="1"/>
      <w:tblStyleColBandSize w:val="1"/>
      <w:tblBorders>
        <w:top w:val="single" w:color="c9c9c9" w:themeColor="accent3" w:themeTint="98" w:sz="4" w:space="0"/>
        <w:bottom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c9c9" w:themeColor="accent3" w:themeTint="98" w:themeShade="95"/>
      </w:rPr>
      <w:pPr>
        <w:pBdr/>
        <w:spacing/>
        <w:ind/>
      </w:pPr>
      <w:tblPr>
        <w:tblBorders/>
      </w:tblPr>
      <w:tcPr>
        <w:tcBorders/>
      </w:tcPr>
    </w:tblStylePr>
    <w:tblStylePr w:type="firstRow">
      <w:rPr>
        <w:b/>
        <w:color w:val="c9c9c9" w:themeColor="accent3" w:themeTint="98" w:themeShade="95"/>
      </w:rPr>
      <w:pPr>
        <w:pBdr/>
        <w:spacing/>
        <w:ind/>
      </w:pPr>
      <w:tblPr>
        <w:tblBorders/>
      </w:tblPr>
      <w:tcPr>
        <w:tcBorders>
          <w:bottom w:val="single" w:color="c9c9c9" w:themeColor="accent3" w:themeTint="98" w:sz="4" w:space="0"/>
        </w:tcBorders>
      </w:tcPr>
    </w:tblStylePr>
    <w:tblStylePr w:type="lastCol">
      <w:rPr>
        <w:b/>
        <w:color w:val="c9c9c9" w:themeColor="accent3" w:themeTint="98" w:themeShade="95"/>
      </w:rPr>
      <w:pPr>
        <w:pBdr/>
        <w:spacing/>
        <w:ind/>
      </w:pPr>
      <w:tblPr>
        <w:tblBorders/>
      </w:tblPr>
      <w:tcPr>
        <w:tcBorders/>
      </w:tcPr>
    </w:tblStylePr>
    <w:tblStylePr w:type="lastRow">
      <w:rPr>
        <w:b/>
        <w:color w:val="c9c9c9" w:themeColor="accent3" w:themeTint="98" w:themeShade="95"/>
      </w:rPr>
      <w:pPr>
        <w:pBdr/>
        <w:spacing/>
        <w:ind/>
      </w:pPr>
      <w:tblPr>
        <w:tblBorders/>
      </w:tblPr>
      <w:tcPr>
        <w:tcBorders>
          <w:top w:val="single" w:color="c9c9c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List Table 6 Colorful - Accent 4"/>
    <w:basedOn w:val="901"/>
    <w:uiPriority w:val="99"/>
    <w:pPr>
      <w:pBdr/>
      <w:spacing w:after="0" w:line="240" w:lineRule="auto"/>
      <w:ind/>
    </w:pPr>
    <w:tblPr>
      <w:tblStyleRowBandSize w:val="1"/>
      <w:tblStyleColBandSize w:val="1"/>
      <w:tblBorders>
        <w:top w:val="single" w:color="ffd865" w:themeColor="accent4" w:themeTint="9A" w:sz="4" w:space="0"/>
        <w:bottom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4"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List Table 6 Colorful - Accent 5"/>
    <w:basedOn w:val="901"/>
    <w:uiPriority w:val="99"/>
    <w:pPr>
      <w:pBdr/>
      <w:spacing w:after="0" w:line="240" w:lineRule="auto"/>
      <w:ind/>
    </w:pPr>
    <w:tblPr>
      <w:tblStyleRowBandSize w:val="1"/>
      <w:tblStyleColBandSize w:val="1"/>
      <w:tblBorders>
        <w:top w:val="single" w:color="9bc2e5" w:themeColor="accent5" w:themeTint="9A" w:sz="4" w:space="0"/>
        <w:bottom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bc2e5" w:themeColor="accent5" w:themeTint="9A" w:themeShade="95"/>
      </w:rPr>
      <w:pPr>
        <w:pBdr/>
        <w:spacing/>
        <w:ind/>
      </w:pPr>
      <w:tblPr>
        <w:tblBorders/>
      </w:tblPr>
      <w:tcPr>
        <w:tcBorders/>
      </w:tcPr>
    </w:tblStylePr>
    <w:tblStylePr w:type="firstRow">
      <w:rPr>
        <w:b/>
        <w:color w:val="9bc2e5" w:themeColor="accent5" w:themeTint="9A" w:themeShade="95"/>
      </w:rPr>
      <w:pPr>
        <w:pBdr/>
        <w:spacing/>
        <w:ind/>
      </w:pPr>
      <w:tblPr>
        <w:tblBorders/>
      </w:tblPr>
      <w:tcPr>
        <w:tcBorders>
          <w:bottom w:val="single" w:color="9bc2e5" w:themeColor="accent5" w:themeTint="9A" w:sz="4" w:space="0"/>
        </w:tcBorders>
      </w:tcPr>
    </w:tblStylePr>
    <w:tblStylePr w:type="lastCol">
      <w:rPr>
        <w:b/>
        <w:color w:val="9bc2e5" w:themeColor="accent5" w:themeTint="9A" w:themeShade="95"/>
      </w:rPr>
      <w:pPr>
        <w:pBdr/>
        <w:spacing/>
        <w:ind/>
      </w:pPr>
      <w:tblPr>
        <w:tblBorders/>
      </w:tblPr>
      <w:tcPr>
        <w:tcBorders/>
      </w:tcPr>
    </w:tblStylePr>
    <w:tblStylePr w:type="lastRow">
      <w:rPr>
        <w:b/>
        <w:color w:val="9bc2e5" w:themeColor="accent5" w:themeTint="9A" w:themeShade="95"/>
      </w:rPr>
      <w:pPr>
        <w:pBdr/>
        <w:spacing/>
        <w:ind/>
      </w:pPr>
      <w:tblPr>
        <w:tblBorders/>
      </w:tblPr>
      <w:tcPr>
        <w:tcBorders>
          <w:top w:val="single" w:color="9bc2e5"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List Table 6 Colorful - Accent 6"/>
    <w:basedOn w:val="901"/>
    <w:uiPriority w:val="99"/>
    <w:pPr>
      <w:pBdr/>
      <w:spacing w:after="0" w:line="240" w:lineRule="auto"/>
      <w:ind/>
    </w:pPr>
    <w:tblPr>
      <w:tblStyleRowBandSize w:val="1"/>
      <w:tblStyleColBandSize w:val="1"/>
      <w:tblBorders>
        <w:top w:val="single" w:color="a9d08e" w:themeColor="accent6" w:themeTint="98" w:sz="4" w:space="0"/>
        <w:bottom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9d08e" w:themeColor="accent6" w:themeTint="98" w:themeShade="95"/>
      </w:rPr>
      <w:pPr>
        <w:pBdr/>
        <w:spacing/>
        <w:ind/>
      </w:pPr>
      <w:tblPr>
        <w:tblBorders/>
      </w:tblPr>
      <w:tcPr>
        <w:tcBorders/>
      </w:tcPr>
    </w:tblStylePr>
    <w:tblStylePr w:type="firstRow">
      <w:rPr>
        <w:b/>
        <w:color w:val="a9d08e" w:themeColor="accent6" w:themeTint="98" w:themeShade="95"/>
      </w:rPr>
      <w:pPr>
        <w:pBdr/>
        <w:spacing/>
        <w:ind/>
      </w:pPr>
      <w:tblPr>
        <w:tblBorders/>
      </w:tblPr>
      <w:tcPr>
        <w:tcBorders>
          <w:bottom w:val="single" w:color="a9d08e" w:themeColor="accent6" w:themeTint="98" w:sz="4" w:space="0"/>
        </w:tcBorders>
      </w:tcPr>
    </w:tblStylePr>
    <w:tblStylePr w:type="lastCol">
      <w:rPr>
        <w:b/>
        <w:color w:val="a9d08e" w:themeColor="accent6" w:themeTint="98" w:themeShade="95"/>
      </w:rPr>
      <w:pPr>
        <w:pBdr/>
        <w:spacing/>
        <w:ind/>
      </w:pPr>
      <w:tblPr>
        <w:tblBorders/>
      </w:tblPr>
      <w:tcPr>
        <w:tcBorders/>
      </w:tcPr>
    </w:tblStylePr>
    <w:tblStylePr w:type="lastRow">
      <w:rPr>
        <w:b/>
        <w:color w:val="a9d08e" w:themeColor="accent6" w:themeTint="98" w:themeShade="95"/>
      </w:rPr>
      <w:pPr>
        <w:pBdr/>
        <w:spacing/>
        <w:ind/>
      </w:pPr>
      <w:tblPr>
        <w:tblBorders/>
      </w:tblPr>
      <w:tcPr>
        <w:tcBorders>
          <w:top w:val="single" w:color="a9d08e"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name w:val="List Table 7 Colorful"/>
    <w:basedOn w:val="901"/>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List Table 7 Colorful - Accent 1"/>
    <w:basedOn w:val="901"/>
    <w:uiPriority w:val="99"/>
    <w:pPr>
      <w:pBdr/>
      <w:spacing w:after="0" w:line="240" w:lineRule="auto"/>
      <w:ind/>
    </w:pPr>
    <w:tblPr>
      <w:tblStyleRowBandSize w:val="1"/>
      <w:tblStyleColBandSize w:val="1"/>
      <w:tblBorders>
        <w:right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175"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4472c4" w:themeColor="accent1" w:sz="4" w:space="0"/>
        </w:tcBorders>
      </w:tcPr>
    </w:tblStylePr>
    <w:tblStylePr w:type="firstRow">
      <w:rPr>
        <w:rFonts w:ascii="Arial" w:hAnsi="Arial"/>
        <w:i/>
        <w:color w:val="254175"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4472c4" w:themeColor="accent1" w:sz="4" w:space="0"/>
          <w:right w:val="none" w:color="000000" w:sz="0" w:space="0"/>
        </w:tcBorders>
      </w:tcPr>
    </w:tblStylePr>
    <w:tblStylePr w:type="lastCol">
      <w:rPr>
        <w:rFonts w:ascii="Arial" w:hAnsi="Arial"/>
        <w:i/>
        <w:color w:val="254175" w:themeColor="accent1" w:themeShade="95"/>
        <w:sz w:val="22"/>
      </w:rPr>
      <w:pPr>
        <w:pBdr/>
        <w:spacing/>
        <w:ind/>
      </w:pPr>
      <w:tblPr>
        <w:tblBorders/>
      </w:tblPr>
      <w:tcPr>
        <w:shd w:val="clear" w:color="ffffff" w:fill="auto"/>
        <w:tcBorders>
          <w:top w:val="none" w:color="000000" w:sz="0" w:space="0"/>
          <w:left w:val="single" w:color="4472c4" w:themeColor="accent1" w:sz="4" w:space="0"/>
          <w:bottom w:val="none" w:color="000000" w:sz="0" w:space="0"/>
          <w:right w:val="none" w:color="000000" w:sz="0" w:space="0"/>
        </w:tcBorders>
      </w:tcPr>
    </w:tblStylePr>
    <w:tblStylePr w:type="lastRow">
      <w:rPr>
        <w:rFonts w:ascii="Arial" w:hAnsi="Arial"/>
        <w:i/>
        <w:color w:val="254175" w:themeColor="accent1" w:themeShade="95"/>
        <w:sz w:val="22"/>
      </w:rPr>
      <w:pPr>
        <w:pBdr/>
        <w:spacing/>
        <w:ind/>
      </w:pPr>
      <w:tblPr>
        <w:tblBorders/>
      </w:tblPr>
      <w:tcPr>
        <w:shd w:val="clear" w:color="ffffff" w:themeColor="light1" w:fill="ffffff" w:themeFill="light1"/>
        <w:tcBorders>
          <w:top w:val="single" w:color="4472c4"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List Table 7 Colorful - Accent 2"/>
    <w:basedOn w:val="901"/>
    <w:uiPriority w:val="99"/>
    <w:pPr>
      <w:pBdr/>
      <w:spacing w:after="0" w:line="240" w:lineRule="auto"/>
      <w:ind/>
    </w:pPr>
    <w:tblPr>
      <w:tblStyleRowBandSize w:val="1"/>
      <w:tblStyleColBandSize w:val="1"/>
      <w:tblBorders>
        <w:right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List Table 7 Colorful - Accent 3"/>
    <w:basedOn w:val="901"/>
    <w:uiPriority w:val="99"/>
    <w:pPr>
      <w:pBdr/>
      <w:spacing w:after="0" w:line="240" w:lineRule="auto"/>
      <w:ind/>
    </w:pPr>
    <w:tblPr>
      <w:tblStyleRowBandSize w:val="1"/>
      <w:tblStyleColBandSize w:val="1"/>
      <w:tblBorders>
        <w:right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c9c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9c9c9" w:themeColor="accent3" w:themeTint="98" w:sz="4" w:space="0"/>
        </w:tcBorders>
      </w:tcPr>
    </w:tblStylePr>
    <w:tblStylePr w:type="fir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9c9c9" w:themeColor="accent3" w:themeTint="98" w:sz="4" w:space="0"/>
          <w:right w:val="none" w:color="000000" w:sz="0" w:space="0"/>
        </w:tcBorders>
      </w:tcPr>
    </w:tblStylePr>
    <w:tblStylePr w:type="lastCol">
      <w:rPr>
        <w:rFonts w:ascii="Arial" w:hAnsi="Arial"/>
        <w:i/>
        <w:color w:val="c9c9c9" w:themeColor="accent3" w:themeTint="98" w:themeShade="95"/>
        <w:sz w:val="22"/>
      </w:rPr>
      <w:pPr>
        <w:pBdr/>
        <w:spacing/>
        <w:ind/>
      </w:pPr>
      <w:tblPr>
        <w:tblBorders/>
      </w:tblPr>
      <w:tcPr>
        <w:shd w:val="clear" w:color="ffffff" w:fill="auto"/>
        <w:tcBorders>
          <w:top w:val="none" w:color="000000" w:sz="0" w:space="0"/>
          <w:left w:val="single" w:color="c9c9c9" w:themeColor="accent3" w:themeTint="98" w:sz="4" w:space="0"/>
          <w:bottom w:val="none" w:color="000000" w:sz="0" w:space="0"/>
          <w:right w:val="none" w:color="000000" w:sz="0" w:space="0"/>
        </w:tcBorders>
      </w:tcPr>
    </w:tblStylePr>
    <w:tblStylePr w:type="la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single" w:color="c9c9c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List Table 7 Colorful - Accent 4"/>
    <w:basedOn w:val="901"/>
    <w:uiPriority w:val="99"/>
    <w:pPr>
      <w:pBdr/>
      <w:spacing w:after="0" w:line="240" w:lineRule="auto"/>
      <w:ind/>
    </w:pPr>
    <w:tblPr>
      <w:tblStyleRowBandSize w:val="1"/>
      <w:tblStyleColBandSize w:val="1"/>
      <w:tblBorders>
        <w:right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List Table 7 Colorful - Accent 5"/>
    <w:basedOn w:val="901"/>
    <w:uiPriority w:val="99"/>
    <w:pPr>
      <w:pBdr/>
      <w:spacing w:after="0" w:line="240" w:lineRule="auto"/>
      <w:ind/>
    </w:pPr>
    <w:tblPr>
      <w:tblStyleRowBandSize w:val="1"/>
      <w:tblStyleColBandSize w:val="1"/>
      <w:tblBorders>
        <w:right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bc2e5"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9bc2e5" w:themeColor="accent5" w:themeTint="9A" w:sz="4" w:space="0"/>
        </w:tcBorders>
      </w:tcPr>
    </w:tblStylePr>
    <w:tblStylePr w:type="fir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9bc2e5" w:themeColor="accent5" w:themeTint="9A" w:sz="4" w:space="0"/>
          <w:right w:val="none" w:color="000000" w:sz="0" w:space="0"/>
        </w:tcBorders>
      </w:tcPr>
    </w:tblStylePr>
    <w:tblStylePr w:type="lastCol">
      <w:rPr>
        <w:rFonts w:ascii="Arial" w:hAnsi="Arial"/>
        <w:i/>
        <w:color w:val="9bc2e5" w:themeColor="accent5" w:themeTint="9A" w:themeShade="95"/>
        <w:sz w:val="22"/>
      </w:rPr>
      <w:pPr>
        <w:pBdr/>
        <w:spacing/>
        <w:ind/>
      </w:pPr>
      <w:tblPr>
        <w:tblBorders/>
      </w:tblPr>
      <w:tcPr>
        <w:shd w:val="clear" w:color="ffffff" w:fill="auto"/>
        <w:tcBorders>
          <w:top w:val="none" w:color="000000" w:sz="0" w:space="0"/>
          <w:left w:val="single" w:color="9bc2e5" w:themeColor="accent5" w:themeTint="9A" w:sz="4" w:space="0"/>
          <w:bottom w:val="none" w:color="000000" w:sz="0" w:space="0"/>
          <w:right w:val="none" w:color="000000" w:sz="0" w:space="0"/>
        </w:tcBorders>
      </w:tcPr>
    </w:tblStylePr>
    <w:tblStylePr w:type="la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single" w:color="9bc2e5"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List Table 7 Colorful - Accent 6"/>
    <w:basedOn w:val="901"/>
    <w:uiPriority w:val="99"/>
    <w:pPr>
      <w:pBdr/>
      <w:spacing w:after="0" w:line="240" w:lineRule="auto"/>
      <w:ind/>
    </w:pPr>
    <w:tblPr>
      <w:tblStyleRowBandSize w:val="1"/>
      <w:tblStyleColBandSize w:val="1"/>
      <w:tblBorders>
        <w:right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9d08e"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9d08e" w:themeColor="accent6" w:themeTint="98" w:sz="4" w:space="0"/>
        </w:tcBorders>
      </w:tcPr>
    </w:tblStylePr>
    <w:tblStylePr w:type="fir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9d08e" w:themeColor="accent6" w:themeTint="98" w:sz="4" w:space="0"/>
          <w:right w:val="none" w:color="000000" w:sz="0" w:space="0"/>
        </w:tcBorders>
      </w:tcPr>
    </w:tblStylePr>
    <w:tblStylePr w:type="lastCol">
      <w:rPr>
        <w:rFonts w:ascii="Arial" w:hAnsi="Arial"/>
        <w:i/>
        <w:color w:val="a9d08e" w:themeColor="accent6" w:themeTint="98" w:themeShade="95"/>
        <w:sz w:val="22"/>
      </w:rPr>
      <w:pPr>
        <w:pBdr/>
        <w:spacing/>
        <w:ind/>
      </w:pPr>
      <w:tblPr>
        <w:tblBorders/>
      </w:tblPr>
      <w:tcPr>
        <w:shd w:val="clear" w:color="ffffff" w:fill="auto"/>
        <w:tcBorders>
          <w:top w:val="none" w:color="000000" w:sz="0" w:space="0"/>
          <w:left w:val="single" w:color="a9d08e" w:themeColor="accent6" w:themeTint="98" w:sz="4" w:space="0"/>
          <w:bottom w:val="none" w:color="000000" w:sz="0" w:space="0"/>
          <w:right w:val="none" w:color="000000" w:sz="0" w:space="0"/>
        </w:tcBorders>
      </w:tcPr>
    </w:tblStylePr>
    <w:tblStylePr w:type="la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single" w:color="a9d08e"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Lined - Accent"/>
    <w:basedOn w:val="901"/>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Lined - Accent 1"/>
    <w:basedOn w:val="901"/>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Lined - Accent 2"/>
    <w:basedOn w:val="901"/>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Lined - Accent 3"/>
    <w:basedOn w:val="901"/>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Lined - Accent 4"/>
    <w:basedOn w:val="901"/>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Lined - Accent 5"/>
    <w:basedOn w:val="901"/>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Lined - Accent 6"/>
    <w:basedOn w:val="901"/>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Bordered &amp; Lined - Accent"/>
    <w:basedOn w:val="901"/>
    <w:uiPriority w:val="99"/>
    <w:pPr>
      <w:pBdr/>
      <w:spacing w:after="0" w:line="240" w:lineRule="auto"/>
      <w:ind/>
    </w:pPr>
    <w:rPr>
      <w:color w:val="404040"/>
      <w:sz w:val="20"/>
      <w:szCs w:val="20"/>
      <w:lang w:eastAsia="fr-FR"/>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Bordered &amp; Lined - Accent 1"/>
    <w:basedOn w:val="901"/>
    <w:uiPriority w:val="99"/>
    <w:pPr>
      <w:pBdr/>
      <w:spacing w:after="0" w:line="240" w:lineRule="auto"/>
      <w:ind/>
    </w:pPr>
    <w:rPr>
      <w:color w:val="404040"/>
      <w:sz w:val="20"/>
      <w:szCs w:val="20"/>
      <w:lang w:eastAsia="fr-FR"/>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Bordered &amp; Lined - Accent 2"/>
    <w:basedOn w:val="901"/>
    <w:uiPriority w:val="99"/>
    <w:pPr>
      <w:pBdr/>
      <w:spacing w:after="0" w:line="240" w:lineRule="auto"/>
      <w:ind/>
    </w:pPr>
    <w:rPr>
      <w:color w:val="404040"/>
      <w:sz w:val="20"/>
      <w:szCs w:val="20"/>
      <w:lang w:eastAsia="fr-FR"/>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Bordered &amp; Lined - Accent 3"/>
    <w:basedOn w:val="901"/>
    <w:uiPriority w:val="99"/>
    <w:pPr>
      <w:pBdr/>
      <w:spacing w:after="0" w:line="240" w:lineRule="auto"/>
      <w:ind/>
    </w:pPr>
    <w:rPr>
      <w:color w:val="404040"/>
      <w:sz w:val="20"/>
      <w:szCs w:val="20"/>
      <w:lang w:eastAsia="fr-FR"/>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Bordered &amp; Lined - Accent 4"/>
    <w:basedOn w:val="901"/>
    <w:uiPriority w:val="99"/>
    <w:pPr>
      <w:pBdr/>
      <w:spacing w:after="0" w:line="240" w:lineRule="auto"/>
      <w:ind/>
    </w:pPr>
    <w:rPr>
      <w:color w:val="404040"/>
      <w:sz w:val="20"/>
      <w:szCs w:val="20"/>
      <w:lang w:eastAsia="fr-FR"/>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Bordered &amp; Lined - Accent 5"/>
    <w:basedOn w:val="901"/>
    <w:uiPriority w:val="99"/>
    <w:pPr>
      <w:pBdr/>
      <w:spacing w:after="0" w:line="240" w:lineRule="auto"/>
      <w:ind/>
    </w:pPr>
    <w:rPr>
      <w:color w:val="404040"/>
      <w:sz w:val="20"/>
      <w:szCs w:val="20"/>
      <w:lang w:eastAsia="fr-FR"/>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Bordered &amp; Lined - Accent 6"/>
    <w:basedOn w:val="901"/>
    <w:uiPriority w:val="99"/>
    <w:pPr>
      <w:pBdr/>
      <w:spacing w:after="0" w:line="240" w:lineRule="auto"/>
      <w:ind/>
    </w:pPr>
    <w:rPr>
      <w:color w:val="404040"/>
      <w:sz w:val="20"/>
      <w:szCs w:val="20"/>
      <w:lang w:eastAsia="fr-FR"/>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Bordered"/>
    <w:basedOn w:val="901"/>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Bordered - Accent 1"/>
    <w:basedOn w:val="901"/>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472c4" w:themeColor="accent1" w:sz="12" w:space="0"/>
        </w:tcBorders>
      </w:tcPr>
    </w:tblStylePr>
    <w:tblStylePr w:type="lastCol">
      <w:rPr>
        <w:rFonts w:ascii="Arial" w:hAnsi="Arial"/>
        <w:color w:val="404040"/>
        <w:sz w:val="22"/>
      </w:rPr>
      <w:pPr>
        <w:pBdr/>
        <w:spacing/>
        <w:ind/>
      </w:pPr>
      <w:tblPr>
        <w:tblBorders/>
      </w:tblPr>
      <w:tcPr>
        <w:tcBorders>
          <w:left w:val="single" w:color="4472c4" w:themeColor="accent1" w:sz="12" w:space="0"/>
        </w:tcBorders>
      </w:tcPr>
    </w:tblStylePr>
    <w:tblStylePr w:type="lastRow">
      <w:rPr>
        <w:rFonts w:ascii="Arial" w:hAnsi="Arial"/>
        <w:color w:val="404040"/>
        <w:sz w:val="22"/>
      </w:rPr>
      <w:pPr>
        <w:pBdr/>
        <w:spacing/>
        <w:ind/>
      </w:pPr>
      <w:tblPr>
        <w:tblBorders/>
      </w:tblPr>
      <w:tcPr>
        <w:tcBorders>
          <w:top w:val="single" w:color="4472c4"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Bordered - Accent 2"/>
    <w:basedOn w:val="901"/>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4b184" w:themeColor="accent2" w:themeTint="97" w:sz="12" w:space="0"/>
        </w:tcBorders>
      </w:tcPr>
    </w:tblStylePr>
    <w:tblStylePr w:type="lastCol">
      <w:rPr>
        <w:rFonts w:ascii="Arial" w:hAnsi="Arial"/>
        <w:color w:val="404040"/>
        <w:sz w:val="22"/>
      </w:rPr>
      <w:pPr>
        <w:pBdr/>
        <w:spacing/>
        <w:ind/>
      </w:pPr>
      <w:tblPr>
        <w:tblBorders/>
      </w:tblPr>
      <w:tcPr>
        <w:tcBorders>
          <w:left w:val="single" w:color="f4b184" w:themeColor="accent2" w:themeTint="97" w:sz="12" w:space="0"/>
        </w:tcBorders>
      </w:tcPr>
    </w:tblStylePr>
    <w:tblStylePr w:type="lastRow">
      <w:rPr>
        <w:rFonts w:ascii="Arial" w:hAnsi="Arial"/>
        <w:color w:val="404040"/>
        <w:sz w:val="22"/>
      </w:rPr>
      <w:pPr>
        <w:pBdr/>
        <w:spacing/>
        <w:ind/>
      </w:pPr>
      <w:tblPr>
        <w:tblBorders/>
      </w:tblPr>
      <w:tcPr>
        <w:tcBorders>
          <w:top w:val="single" w:color="f4b184"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Bordered - Accent 3"/>
    <w:basedOn w:val="901"/>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9c9c9" w:themeColor="accent3" w:themeTint="98" w:sz="12" w:space="0"/>
        </w:tcBorders>
      </w:tcPr>
    </w:tblStylePr>
    <w:tblStylePr w:type="lastCol">
      <w:rPr>
        <w:rFonts w:ascii="Arial" w:hAnsi="Arial"/>
        <w:color w:val="404040"/>
        <w:sz w:val="22"/>
      </w:rPr>
      <w:pPr>
        <w:pBdr/>
        <w:spacing/>
        <w:ind/>
      </w:pPr>
      <w:tblPr>
        <w:tblBorders/>
      </w:tblPr>
      <w:tcPr>
        <w:tcBorders>
          <w:left w:val="single" w:color="c9c9c9" w:themeColor="accent3" w:themeTint="98" w:sz="12" w:space="0"/>
        </w:tcBorders>
      </w:tcPr>
    </w:tblStylePr>
    <w:tblStylePr w:type="lastRow">
      <w:rPr>
        <w:rFonts w:ascii="Arial" w:hAnsi="Arial"/>
        <w:color w:val="404040"/>
        <w:sz w:val="22"/>
      </w:rPr>
      <w:pPr>
        <w:pBdr/>
        <w:spacing/>
        <w:ind/>
      </w:pPr>
      <w:tblPr>
        <w:tblBorders/>
      </w:tblPr>
      <w:tcPr>
        <w:tcBorders>
          <w:top w:val="single" w:color="c9c9c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Bordered - Accent 4"/>
    <w:basedOn w:val="901"/>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d865" w:themeColor="accent4" w:themeTint="9A" w:sz="12" w:space="0"/>
        </w:tcBorders>
      </w:tcPr>
    </w:tblStylePr>
    <w:tblStylePr w:type="lastCol">
      <w:rPr>
        <w:rFonts w:ascii="Arial" w:hAnsi="Arial"/>
        <w:color w:val="404040"/>
        <w:sz w:val="22"/>
      </w:rPr>
      <w:pPr>
        <w:pBdr/>
        <w:spacing/>
        <w:ind/>
      </w:pPr>
      <w:tblPr>
        <w:tblBorders/>
      </w:tblPr>
      <w:tcPr>
        <w:tcBorders>
          <w:left w:val="single" w:color="ffd865" w:themeColor="accent4" w:themeTint="9A" w:sz="12" w:space="0"/>
        </w:tcBorders>
      </w:tcPr>
    </w:tblStylePr>
    <w:tblStylePr w:type="lastRow">
      <w:rPr>
        <w:rFonts w:ascii="Arial" w:hAnsi="Arial"/>
        <w:color w:val="404040"/>
        <w:sz w:val="22"/>
      </w:rPr>
      <w:pPr>
        <w:pBdr/>
        <w:spacing/>
        <w:ind/>
      </w:pPr>
      <w:tblPr>
        <w:tblBorders/>
      </w:tblPr>
      <w:tcPr>
        <w:tcBorders>
          <w:top w:val="single" w:color="ffd865"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Bordered - Accent 5"/>
    <w:basedOn w:val="901"/>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bc2e5" w:themeColor="accent5" w:themeTint="9A" w:sz="12" w:space="0"/>
        </w:tcBorders>
      </w:tcPr>
    </w:tblStylePr>
    <w:tblStylePr w:type="lastCol">
      <w:rPr>
        <w:rFonts w:ascii="Arial" w:hAnsi="Arial"/>
        <w:color w:val="404040"/>
        <w:sz w:val="22"/>
      </w:rPr>
      <w:pPr>
        <w:pBdr/>
        <w:spacing/>
        <w:ind/>
      </w:pPr>
      <w:tblPr>
        <w:tblBorders/>
      </w:tblPr>
      <w:tcPr>
        <w:tcBorders>
          <w:left w:val="single" w:color="9bc2e5" w:themeColor="accent5" w:themeTint="9A" w:sz="12" w:space="0"/>
        </w:tcBorders>
      </w:tcPr>
    </w:tblStylePr>
    <w:tblStylePr w:type="lastRow">
      <w:rPr>
        <w:rFonts w:ascii="Arial" w:hAnsi="Arial"/>
        <w:color w:val="404040"/>
        <w:sz w:val="22"/>
      </w:rPr>
      <w:pPr>
        <w:pBdr/>
        <w:spacing/>
        <w:ind/>
      </w:pPr>
      <w:tblPr>
        <w:tblBorders/>
      </w:tblPr>
      <w:tcPr>
        <w:tcBorders>
          <w:top w:val="single" w:color="9bc2e5"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Bordered - Accent 6"/>
    <w:basedOn w:val="901"/>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a9d08e" w:themeColor="accent6" w:themeTint="98" w:sz="12" w:space="0"/>
        </w:tcBorders>
      </w:tcPr>
    </w:tblStylePr>
    <w:tblStylePr w:type="lastCol">
      <w:rPr>
        <w:rFonts w:ascii="Arial" w:hAnsi="Arial"/>
        <w:color w:val="404040"/>
        <w:sz w:val="22"/>
      </w:rPr>
      <w:pPr>
        <w:pBdr/>
        <w:spacing/>
        <w:ind/>
      </w:pPr>
      <w:tblPr>
        <w:tblBorders/>
      </w:tblPr>
      <w:tcPr>
        <w:tcBorders>
          <w:left w:val="single" w:color="a9d08e" w:themeColor="accent6" w:themeTint="98" w:sz="12" w:space="0"/>
        </w:tcBorders>
      </w:tcPr>
    </w:tblStylePr>
    <w:tblStylePr w:type="lastRow">
      <w:rPr>
        <w:rFonts w:ascii="Arial" w:hAnsi="Arial"/>
        <w:color w:val="404040"/>
        <w:sz w:val="22"/>
      </w:rPr>
      <w:pPr>
        <w:pBdr/>
        <w:spacing/>
        <w:ind/>
      </w:pPr>
      <w:tblPr>
        <w:tblBorders/>
      </w:tblPr>
      <w:tcPr>
        <w:tcBorders>
          <w:top w:val="single" w:color="a9d08e"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046" w:customStyle="1">
    <w:name w:val="Titre 1 Car"/>
    <w:basedOn w:val="900"/>
    <w:link w:val="891"/>
    <w:uiPriority w:val="9"/>
    <w:pPr>
      <w:pBdr/>
      <w:spacing/>
      <w:ind/>
    </w:pPr>
    <w:rPr>
      <w:rFonts w:ascii="Arial" w:hAnsi="Arial" w:eastAsia="Arial" w:cs="Arial"/>
      <w:color w:val="2f5496" w:themeColor="accent1" w:themeShade="BF"/>
      <w:sz w:val="40"/>
      <w:szCs w:val="40"/>
    </w:rPr>
  </w:style>
  <w:style w:type="character" w:styleId="1047" w:customStyle="1">
    <w:name w:val="Titre 2 Car"/>
    <w:link w:val="892"/>
    <w:uiPriority w:val="9"/>
    <w:pPr>
      <w:pBdr/>
      <w:spacing/>
      <w:ind/>
    </w:pPr>
    <w:rPr>
      <w:rFonts w:ascii="Barlow" w:hAnsi="Barlow" w:cs="Barlow Light"/>
      <w:b/>
      <w:color w:val="000000" w:themeColor="text1"/>
      <w:sz w:val="28"/>
      <w:szCs w:val="28"/>
    </w:rPr>
  </w:style>
  <w:style w:type="character" w:styleId="1048" w:customStyle="1">
    <w:name w:val="Titre 3 Car"/>
    <w:link w:val="893"/>
    <w:uiPriority w:val="9"/>
    <w:pPr>
      <w:pBdr/>
      <w:spacing/>
      <w:ind/>
    </w:pPr>
  </w:style>
  <w:style w:type="character" w:styleId="1049" w:customStyle="1">
    <w:name w:val="Titre 4 Car"/>
    <w:basedOn w:val="900"/>
    <w:link w:val="894"/>
    <w:uiPriority w:val="9"/>
    <w:pPr>
      <w:pBdr/>
      <w:spacing/>
      <w:ind/>
    </w:pPr>
    <w:rPr>
      <w:rFonts w:ascii="Arial" w:hAnsi="Arial" w:eastAsia="Arial" w:cs="Arial"/>
      <w:i/>
      <w:iCs/>
      <w:color w:val="2f5496" w:themeColor="accent1" w:themeShade="BF"/>
    </w:rPr>
  </w:style>
  <w:style w:type="character" w:styleId="1050" w:customStyle="1">
    <w:name w:val="Titre 5 Car"/>
    <w:basedOn w:val="900"/>
    <w:link w:val="895"/>
    <w:uiPriority w:val="9"/>
    <w:pPr>
      <w:pBdr/>
      <w:spacing/>
      <w:ind/>
    </w:pPr>
    <w:rPr>
      <w:rFonts w:ascii="Arial" w:hAnsi="Arial" w:eastAsia="Arial" w:cs="Arial"/>
      <w:color w:val="2f5496" w:themeColor="accent1" w:themeShade="BF"/>
    </w:rPr>
  </w:style>
  <w:style w:type="character" w:styleId="1051" w:customStyle="1">
    <w:name w:val="Titre 6 Car"/>
    <w:basedOn w:val="900"/>
    <w:link w:val="896"/>
    <w:uiPriority w:val="9"/>
    <w:pPr>
      <w:pBdr/>
      <w:spacing/>
      <w:ind/>
    </w:pPr>
    <w:rPr>
      <w:rFonts w:ascii="Arial" w:hAnsi="Arial" w:eastAsia="Arial" w:cs="Arial"/>
      <w:i/>
      <w:iCs/>
      <w:color w:val="595959" w:themeColor="text1" w:themeTint="A6"/>
    </w:rPr>
  </w:style>
  <w:style w:type="character" w:styleId="1052" w:customStyle="1">
    <w:name w:val="Titre 7 Car"/>
    <w:basedOn w:val="900"/>
    <w:link w:val="897"/>
    <w:uiPriority w:val="9"/>
    <w:pPr>
      <w:pBdr/>
      <w:spacing/>
      <w:ind/>
    </w:pPr>
    <w:rPr>
      <w:rFonts w:ascii="Arial" w:hAnsi="Arial" w:eastAsia="Arial" w:cs="Arial"/>
      <w:color w:val="595959" w:themeColor="text1" w:themeTint="A6"/>
    </w:rPr>
  </w:style>
  <w:style w:type="character" w:styleId="1053" w:customStyle="1">
    <w:name w:val="Titre 8 Car"/>
    <w:basedOn w:val="900"/>
    <w:link w:val="898"/>
    <w:uiPriority w:val="9"/>
    <w:pPr>
      <w:pBdr/>
      <w:spacing/>
      <w:ind/>
    </w:pPr>
    <w:rPr>
      <w:rFonts w:ascii="Arial" w:hAnsi="Arial" w:eastAsia="Arial" w:cs="Arial"/>
      <w:i/>
      <w:iCs/>
      <w:color w:val="272727" w:themeColor="text1" w:themeTint="D8"/>
    </w:rPr>
  </w:style>
  <w:style w:type="character" w:styleId="1054" w:customStyle="1">
    <w:name w:val="Titre 9 Car"/>
    <w:basedOn w:val="900"/>
    <w:link w:val="899"/>
    <w:uiPriority w:val="9"/>
    <w:pPr>
      <w:pBdr/>
      <w:spacing/>
      <w:ind/>
    </w:pPr>
    <w:rPr>
      <w:rFonts w:ascii="Arial" w:hAnsi="Arial" w:eastAsia="Arial" w:cs="Arial"/>
      <w:i/>
      <w:iCs/>
      <w:color w:val="272727" w:themeColor="text1" w:themeTint="D8"/>
    </w:rPr>
  </w:style>
  <w:style w:type="paragraph" w:styleId="1055">
    <w:name w:val="Title"/>
    <w:basedOn w:val="890"/>
    <w:next w:val="890"/>
    <w:link w:val="1056"/>
    <w:uiPriority w:val="10"/>
    <w:qFormat/>
    <w:pPr>
      <w:pBdr/>
      <w:spacing w:after="80" w:line="240" w:lineRule="auto"/>
      <w:ind/>
      <w:contextualSpacing w:val="true"/>
    </w:pPr>
    <w:rPr>
      <w:rFonts w:ascii="Arial" w:hAnsi="Arial" w:eastAsia="Arial" w:cs="Arial"/>
      <w:spacing w:val="-10"/>
      <w:sz w:val="56"/>
      <w:szCs w:val="56"/>
    </w:rPr>
  </w:style>
  <w:style w:type="character" w:styleId="1056" w:customStyle="1">
    <w:name w:val="Titre Car"/>
    <w:basedOn w:val="900"/>
    <w:link w:val="1055"/>
    <w:uiPriority w:val="10"/>
    <w:pPr>
      <w:pBdr/>
      <w:spacing/>
      <w:ind/>
    </w:pPr>
    <w:rPr>
      <w:rFonts w:ascii="Arial" w:hAnsi="Arial" w:eastAsia="Arial" w:cs="Arial"/>
      <w:spacing w:val="-10"/>
      <w:sz w:val="56"/>
      <w:szCs w:val="56"/>
    </w:rPr>
  </w:style>
  <w:style w:type="paragraph" w:styleId="1057">
    <w:name w:val="Subtitle"/>
    <w:basedOn w:val="890"/>
    <w:next w:val="890"/>
    <w:link w:val="1058"/>
    <w:uiPriority w:val="11"/>
    <w:qFormat/>
    <w:pPr>
      <w:numPr>
        <w:ilvl w:val="1"/>
      </w:numPr>
      <w:pBdr/>
      <w:spacing/>
      <w:ind/>
    </w:pPr>
    <w:rPr>
      <w:color w:val="595959" w:themeColor="text1" w:themeTint="A6"/>
      <w:spacing w:val="15"/>
      <w:sz w:val="28"/>
      <w:szCs w:val="28"/>
    </w:rPr>
  </w:style>
  <w:style w:type="character" w:styleId="1058" w:customStyle="1">
    <w:name w:val="Sous-titre Car"/>
    <w:basedOn w:val="900"/>
    <w:link w:val="1057"/>
    <w:uiPriority w:val="11"/>
    <w:pPr>
      <w:pBdr/>
      <w:spacing/>
      <w:ind/>
    </w:pPr>
    <w:rPr>
      <w:color w:val="595959" w:themeColor="text1" w:themeTint="A6"/>
      <w:spacing w:val="15"/>
      <w:sz w:val="28"/>
      <w:szCs w:val="28"/>
    </w:rPr>
  </w:style>
  <w:style w:type="paragraph" w:styleId="1059">
    <w:name w:val="Quote"/>
    <w:basedOn w:val="890"/>
    <w:next w:val="890"/>
    <w:link w:val="1060"/>
    <w:uiPriority w:val="29"/>
    <w:qFormat/>
    <w:pPr>
      <w:pBdr/>
      <w:spacing w:before="160"/>
      <w:ind/>
      <w:jc w:val="center"/>
    </w:pPr>
    <w:rPr>
      <w:i/>
      <w:iCs/>
      <w:color w:val="404040" w:themeColor="text1" w:themeTint="BF"/>
    </w:rPr>
  </w:style>
  <w:style w:type="character" w:styleId="1060" w:customStyle="1">
    <w:name w:val="Citation Car"/>
    <w:basedOn w:val="900"/>
    <w:link w:val="1059"/>
    <w:uiPriority w:val="29"/>
    <w:pPr>
      <w:pBdr/>
      <w:spacing/>
      <w:ind/>
    </w:pPr>
    <w:rPr>
      <w:i/>
      <w:iCs/>
      <w:color w:val="404040" w:themeColor="text1" w:themeTint="BF"/>
    </w:rPr>
  </w:style>
  <w:style w:type="character" w:styleId="1061">
    <w:name w:val="Intense Emphasis"/>
    <w:basedOn w:val="900"/>
    <w:uiPriority w:val="21"/>
    <w:qFormat/>
    <w:pPr>
      <w:pBdr/>
      <w:spacing/>
      <w:ind/>
    </w:pPr>
    <w:rPr>
      <w:i/>
      <w:iCs/>
      <w:color w:val="2f5496" w:themeColor="accent1" w:themeShade="BF"/>
    </w:rPr>
  </w:style>
  <w:style w:type="paragraph" w:styleId="1062">
    <w:name w:val="Intense Quote"/>
    <w:basedOn w:val="890"/>
    <w:next w:val="890"/>
    <w:link w:val="1063"/>
    <w:uiPriority w:val="30"/>
    <w:qFormat/>
    <w:pPr>
      <w:pBdr>
        <w:top w:val="single" w:color="2f5496" w:themeColor="accent1" w:themeShade="BF" w:sz="4" w:space="10"/>
        <w:bottom w:val="single" w:color="2f5496" w:themeColor="accent1" w:themeShade="BF" w:sz="4" w:space="10"/>
      </w:pBdr>
      <w:spacing w:after="360" w:before="360"/>
      <w:ind w:right="864" w:left="864"/>
      <w:jc w:val="center"/>
    </w:pPr>
    <w:rPr>
      <w:i/>
      <w:iCs/>
      <w:color w:val="2f5496" w:themeColor="accent1" w:themeShade="BF"/>
    </w:rPr>
  </w:style>
  <w:style w:type="character" w:styleId="1063" w:customStyle="1">
    <w:name w:val="Citation intense Car"/>
    <w:basedOn w:val="900"/>
    <w:link w:val="1062"/>
    <w:uiPriority w:val="30"/>
    <w:pPr>
      <w:pBdr/>
      <w:spacing/>
      <w:ind/>
    </w:pPr>
    <w:rPr>
      <w:i/>
      <w:iCs/>
      <w:color w:val="2f5496" w:themeColor="accent1" w:themeShade="BF"/>
    </w:rPr>
  </w:style>
  <w:style w:type="character" w:styleId="1064">
    <w:name w:val="Intense Reference"/>
    <w:basedOn w:val="900"/>
    <w:uiPriority w:val="32"/>
    <w:qFormat/>
    <w:pPr>
      <w:pBdr/>
      <w:spacing/>
      <w:ind/>
    </w:pPr>
    <w:rPr>
      <w:b/>
      <w:bCs/>
      <w:smallCaps/>
      <w:color w:val="2f5496" w:themeColor="accent1" w:themeShade="BF"/>
      <w:spacing w:val="5"/>
    </w:rPr>
  </w:style>
  <w:style w:type="paragraph" w:styleId="1065">
    <w:name w:val="No Spacing"/>
    <w:basedOn w:val="890"/>
    <w:link w:val="1095"/>
    <w:uiPriority w:val="1"/>
    <w:qFormat/>
    <w:pPr>
      <w:pBdr/>
      <w:spacing w:after="0" w:line="240" w:lineRule="auto"/>
      <w:ind/>
    </w:pPr>
    <w:rPr>
      <w:lang w:eastAsia="fr-FR"/>
    </w:rPr>
  </w:style>
  <w:style w:type="character" w:styleId="1066">
    <w:name w:val="Subtle Emphasis"/>
    <w:basedOn w:val="900"/>
    <w:uiPriority w:val="19"/>
    <w:qFormat/>
    <w:pPr>
      <w:pBdr/>
      <w:spacing/>
      <w:ind/>
    </w:pPr>
    <w:rPr>
      <w:i/>
      <w:iCs/>
      <w:color w:val="404040" w:themeColor="text1" w:themeTint="BF"/>
    </w:rPr>
  </w:style>
  <w:style w:type="character" w:styleId="1067">
    <w:name w:val="Strong"/>
    <w:basedOn w:val="900"/>
    <w:uiPriority w:val="22"/>
    <w:qFormat/>
    <w:pPr>
      <w:pBdr/>
      <w:spacing/>
      <w:ind/>
    </w:pPr>
    <w:rPr>
      <w:b/>
      <w:bCs/>
    </w:rPr>
  </w:style>
  <w:style w:type="character" w:styleId="1068">
    <w:name w:val="Subtle Reference"/>
    <w:basedOn w:val="900"/>
    <w:uiPriority w:val="31"/>
    <w:qFormat/>
    <w:pPr>
      <w:pBdr/>
      <w:spacing/>
      <w:ind/>
    </w:pPr>
    <w:rPr>
      <w:smallCaps/>
      <w:color w:val="5a5a5a" w:themeColor="text1" w:themeTint="A5"/>
    </w:rPr>
  </w:style>
  <w:style w:type="character" w:styleId="1069">
    <w:name w:val="Book Title"/>
    <w:basedOn w:val="900"/>
    <w:uiPriority w:val="33"/>
    <w:qFormat/>
    <w:pPr>
      <w:pBdr/>
      <w:spacing/>
      <w:ind/>
    </w:pPr>
    <w:rPr>
      <w:b/>
      <w:bCs/>
      <w:i/>
      <w:iCs/>
      <w:spacing w:val="5"/>
    </w:rPr>
  </w:style>
  <w:style w:type="paragraph" w:styleId="1070">
    <w:name w:val="Header"/>
    <w:basedOn w:val="890"/>
    <w:link w:val="1071"/>
    <w:uiPriority w:val="99"/>
    <w:unhideWhenUsed/>
    <w:pPr>
      <w:pBdr/>
      <w:tabs>
        <w:tab w:val="bar" w:leader="none" w:pos="4844"/>
        <w:tab w:val="bar" w:leader="none" w:pos="9689"/>
      </w:tabs>
      <w:spacing w:after="0" w:line="240" w:lineRule="auto"/>
      <w:ind/>
    </w:pPr>
  </w:style>
  <w:style w:type="character" w:styleId="1071" w:customStyle="1">
    <w:name w:val="En-tête Car"/>
    <w:basedOn w:val="900"/>
    <w:link w:val="1070"/>
    <w:uiPriority w:val="99"/>
    <w:pPr>
      <w:pBdr/>
      <w:spacing/>
      <w:ind/>
    </w:pPr>
  </w:style>
  <w:style w:type="paragraph" w:styleId="1072">
    <w:name w:val="Footer"/>
    <w:basedOn w:val="890"/>
    <w:link w:val="1073"/>
    <w:uiPriority w:val="99"/>
    <w:unhideWhenUsed/>
    <w:pPr>
      <w:pBdr/>
      <w:tabs>
        <w:tab w:val="bar" w:leader="none" w:pos="4844"/>
        <w:tab w:val="bar" w:leader="none" w:pos="9689"/>
      </w:tabs>
      <w:spacing w:after="0" w:line="240" w:lineRule="auto"/>
      <w:ind/>
    </w:pPr>
  </w:style>
  <w:style w:type="character" w:styleId="1073" w:customStyle="1">
    <w:name w:val="Pied de page Car"/>
    <w:basedOn w:val="900"/>
    <w:link w:val="1072"/>
    <w:uiPriority w:val="99"/>
    <w:pPr>
      <w:pBdr/>
      <w:spacing/>
      <w:ind/>
    </w:pPr>
  </w:style>
  <w:style w:type="paragraph" w:styleId="1074">
    <w:name w:val="Caption"/>
    <w:basedOn w:val="890"/>
    <w:next w:val="890"/>
    <w:uiPriority w:val="35"/>
    <w:unhideWhenUsed/>
    <w:qFormat/>
    <w:pPr>
      <w:pBdr/>
      <w:spacing w:after="200" w:line="240" w:lineRule="auto"/>
      <w:ind/>
    </w:pPr>
    <w:rPr>
      <w:i/>
      <w:iCs/>
      <w:color w:val="44546a" w:themeColor="text2"/>
      <w:sz w:val="18"/>
      <w:szCs w:val="18"/>
    </w:rPr>
  </w:style>
  <w:style w:type="paragraph" w:styleId="1075">
    <w:name w:val="footnote text"/>
    <w:basedOn w:val="890"/>
    <w:link w:val="1076"/>
    <w:uiPriority w:val="99"/>
    <w:semiHidden/>
    <w:unhideWhenUsed/>
    <w:pPr>
      <w:pBdr/>
      <w:spacing w:after="0" w:line="240" w:lineRule="auto"/>
      <w:ind/>
    </w:pPr>
    <w:rPr>
      <w:sz w:val="20"/>
      <w:szCs w:val="20"/>
    </w:rPr>
  </w:style>
  <w:style w:type="character" w:styleId="1076" w:customStyle="1">
    <w:name w:val="Note de bas de page Car"/>
    <w:basedOn w:val="900"/>
    <w:link w:val="1075"/>
    <w:uiPriority w:val="99"/>
    <w:semiHidden/>
    <w:pPr>
      <w:pBdr/>
      <w:spacing/>
      <w:ind/>
    </w:pPr>
    <w:rPr>
      <w:sz w:val="20"/>
      <w:szCs w:val="20"/>
    </w:rPr>
  </w:style>
  <w:style w:type="character" w:styleId="1077">
    <w:name w:val="footnote reference"/>
    <w:basedOn w:val="900"/>
    <w:uiPriority w:val="99"/>
    <w:semiHidden/>
    <w:unhideWhenUsed/>
    <w:pPr>
      <w:pBdr/>
      <w:spacing/>
      <w:ind/>
    </w:pPr>
    <w:rPr>
      <w:vertAlign w:val="superscript"/>
    </w:rPr>
  </w:style>
  <w:style w:type="paragraph" w:styleId="1078">
    <w:name w:val="endnote text"/>
    <w:basedOn w:val="890"/>
    <w:link w:val="1079"/>
    <w:uiPriority w:val="99"/>
    <w:semiHidden/>
    <w:unhideWhenUsed/>
    <w:pPr>
      <w:pBdr/>
      <w:spacing w:after="0" w:line="240" w:lineRule="auto"/>
      <w:ind/>
    </w:pPr>
    <w:rPr>
      <w:sz w:val="20"/>
      <w:szCs w:val="20"/>
    </w:rPr>
  </w:style>
  <w:style w:type="character" w:styleId="1079" w:customStyle="1">
    <w:name w:val="Note de fin Car"/>
    <w:basedOn w:val="900"/>
    <w:link w:val="1078"/>
    <w:uiPriority w:val="99"/>
    <w:semiHidden/>
    <w:pPr>
      <w:pBdr/>
      <w:spacing/>
      <w:ind/>
    </w:pPr>
    <w:rPr>
      <w:sz w:val="20"/>
      <w:szCs w:val="20"/>
    </w:rPr>
  </w:style>
  <w:style w:type="character" w:styleId="1080">
    <w:name w:val="endnote reference"/>
    <w:basedOn w:val="900"/>
    <w:uiPriority w:val="99"/>
    <w:semiHidden/>
    <w:unhideWhenUsed/>
    <w:pPr>
      <w:pBdr/>
      <w:spacing/>
      <w:ind/>
    </w:pPr>
    <w:rPr>
      <w:vertAlign w:val="superscript"/>
    </w:rPr>
  </w:style>
  <w:style w:type="character" w:styleId="1081">
    <w:name w:val="FollowedHyperlink"/>
    <w:basedOn w:val="900"/>
    <w:uiPriority w:val="99"/>
    <w:semiHidden/>
    <w:unhideWhenUsed/>
    <w:pPr>
      <w:pBdr/>
      <w:spacing/>
      <w:ind/>
    </w:pPr>
    <w:rPr>
      <w:color w:val="954f72" w:themeColor="followedHyperlink"/>
      <w:u w:val="single"/>
    </w:rPr>
  </w:style>
  <w:style w:type="paragraph" w:styleId="1082">
    <w:name w:val="TOC Heading"/>
    <w:uiPriority w:val="39"/>
    <w:unhideWhenUsed/>
    <w:qFormat/>
    <w:pPr>
      <w:pBdr/>
      <w:spacing/>
      <w:ind/>
    </w:pPr>
  </w:style>
  <w:style w:type="paragraph" w:styleId="1083">
    <w:name w:val="table of figures"/>
    <w:basedOn w:val="890"/>
    <w:next w:val="890"/>
    <w:uiPriority w:val="99"/>
    <w:unhideWhenUsed/>
    <w:pPr>
      <w:pBdr/>
      <w:spacing w:after="0"/>
      <w:ind/>
    </w:pPr>
  </w:style>
  <w:style w:type="paragraph" w:styleId="1084">
    <w:name w:val="List Paragraph"/>
    <w:basedOn w:val="890"/>
    <w:uiPriority w:val="34"/>
    <w:qFormat/>
    <w:pPr>
      <w:pBdr/>
      <w:spacing/>
      <w:ind w:left="720"/>
      <w:contextualSpacing w:val="true"/>
    </w:pPr>
  </w:style>
  <w:style w:type="character" w:styleId="1085">
    <w:name w:val="Hyperlink"/>
    <w:basedOn w:val="900"/>
    <w:uiPriority w:val="99"/>
    <w:unhideWhenUsed/>
    <w:pPr>
      <w:pBdr/>
      <w:spacing/>
      <w:ind/>
    </w:pPr>
    <w:rPr>
      <w:color w:val="0000ff"/>
      <w:u w:val="single"/>
    </w:rPr>
  </w:style>
  <w:style w:type="character" w:styleId="1086" w:customStyle="1">
    <w:name w:val="gmail-oypena"/>
    <w:basedOn w:val="900"/>
    <w:pPr>
      <w:pBdr/>
      <w:spacing/>
      <w:ind/>
    </w:pPr>
  </w:style>
  <w:style w:type="character" w:styleId="1087" w:customStyle="1">
    <w:name w:val="gmail-apple-converted-space"/>
    <w:basedOn w:val="900"/>
    <w:pPr>
      <w:pBdr/>
      <w:spacing/>
      <w:ind/>
    </w:pPr>
  </w:style>
  <w:style w:type="character" w:styleId="1088">
    <w:name w:val="Emphasis"/>
    <w:basedOn w:val="900"/>
    <w:uiPriority w:val="20"/>
    <w:qFormat/>
    <w:pPr>
      <w:pBdr/>
      <w:spacing/>
      <w:ind/>
    </w:pPr>
    <w:rPr>
      <w:i/>
      <w:iCs/>
    </w:rPr>
  </w:style>
  <w:style w:type="paragraph" w:styleId="1089" w:customStyle="1">
    <w:name w:val="gmail-cvgsua"/>
    <w:basedOn w:val="890"/>
    <w:pPr>
      <w:pBdr/>
      <w:spacing w:after="100" w:afterAutospacing="1" w:before="100" w:beforeAutospacing="1" w:line="240" w:lineRule="auto"/>
      <w:ind/>
    </w:pPr>
    <w:rPr>
      <w:rFonts w:ascii="Times New Roman" w:hAnsi="Times New Roman" w:eastAsia="Times New Roman" w:cs="Times New Roman"/>
      <w:sz w:val="24"/>
      <w:szCs w:val="24"/>
      <w:lang w:eastAsia="fr-FR"/>
    </w:rPr>
  </w:style>
  <w:style w:type="paragraph" w:styleId="1090">
    <w:name w:val="Normal (Web)"/>
    <w:basedOn w:val="890"/>
    <w:uiPriority w:val="99"/>
    <w:unhideWhenUsed/>
    <w:pPr>
      <w:pBdr/>
      <w:spacing w:after="100" w:afterAutospacing="1" w:before="100" w:beforeAutospacing="1" w:line="240" w:lineRule="auto"/>
      <w:ind/>
    </w:pPr>
    <w:rPr>
      <w:rFonts w:ascii="Times New Roman" w:hAnsi="Times New Roman" w:eastAsia="Times New Roman" w:cs="Times New Roman"/>
      <w:sz w:val="24"/>
      <w:szCs w:val="24"/>
      <w:lang w:eastAsia="fr-FR"/>
    </w:rPr>
  </w:style>
  <w:style w:type="paragraph" w:styleId="1091" w:customStyle="1">
    <w:name w:val="Default"/>
    <w:pPr>
      <w:pBdr/>
      <w:spacing w:after="0" w:line="240" w:lineRule="auto"/>
      <w:ind/>
    </w:pPr>
    <w:rPr>
      <w:rFonts w:ascii="Calibri" w:hAnsi="Calibri" w:cs="Calibri"/>
      <w:color w:val="000000"/>
      <w:sz w:val="24"/>
      <w:szCs w:val="24"/>
    </w:rPr>
  </w:style>
  <w:style w:type="character" w:styleId="1092" w:customStyle="1">
    <w:name w:val="uppercase"/>
    <w:basedOn w:val="900"/>
    <w:pPr>
      <w:pBdr/>
      <w:spacing/>
      <w:ind/>
    </w:pPr>
  </w:style>
  <w:style w:type="character" w:styleId="1093" w:customStyle="1">
    <w:name w:val="A4"/>
    <w:basedOn w:val="900"/>
    <w:uiPriority w:val="99"/>
    <w:pPr>
      <w:pBdr/>
      <w:spacing/>
      <w:ind/>
    </w:pPr>
    <w:rPr>
      <w:rFonts w:hint="default" w:ascii="Gotham Book" w:hAnsi="Gotham Book"/>
      <w:color w:val="000000"/>
    </w:rPr>
  </w:style>
  <w:style w:type="character" w:styleId="1094">
    <w:name w:val="Unresolved Mention"/>
    <w:basedOn w:val="900"/>
    <w:uiPriority w:val="99"/>
    <w:semiHidden/>
    <w:unhideWhenUsed/>
    <w:pPr>
      <w:pBdr/>
      <w:spacing/>
      <w:ind/>
    </w:pPr>
    <w:rPr>
      <w:color w:val="605e5c"/>
      <w:shd w:val="clear" w:color="auto" w:fill="e1dfdd"/>
    </w:rPr>
  </w:style>
  <w:style w:type="character" w:styleId="1095" w:customStyle="1">
    <w:name w:val="Sans interligne Car"/>
    <w:basedOn w:val="900"/>
    <w:link w:val="1065"/>
    <w:uiPriority w:val="1"/>
    <w:pPr>
      <w:pBdr/>
      <w:spacing/>
      <w:ind/>
    </w:pPr>
    <w:rPr>
      <w:rFonts w:ascii="Barlow" w:hAnsi="Barlow"/>
      <w:lang w:eastAsia="fr-FR"/>
    </w:rPr>
  </w:style>
  <w:style w:type="paragraph" w:styleId="1096">
    <w:name w:val="toc 1"/>
    <w:basedOn w:val="890"/>
    <w:next w:val="890"/>
    <w:uiPriority w:val="39"/>
    <w:unhideWhenUsed/>
    <w:pPr>
      <w:pBdr/>
      <w:spacing w:after="100"/>
      <w:ind/>
    </w:pPr>
  </w:style>
  <w:style w:type="paragraph" w:styleId="1097">
    <w:name w:val="toc 2"/>
    <w:basedOn w:val="890"/>
    <w:next w:val="890"/>
    <w:uiPriority w:val="39"/>
    <w:unhideWhenUsed/>
    <w:pPr>
      <w:pBdr/>
      <w:spacing w:after="100"/>
      <w:ind w:left="220"/>
    </w:pPr>
  </w:style>
  <w:style w:type="paragraph" w:styleId="1098">
    <w:name w:val="toc 3"/>
    <w:basedOn w:val="890"/>
    <w:next w:val="890"/>
    <w:uiPriority w:val="39"/>
    <w:unhideWhenUsed/>
    <w:pPr>
      <w:pBdr/>
      <w:spacing w:after="100"/>
      <w:ind w:left="440"/>
    </w:pPr>
  </w:style>
  <w:style w:type="paragraph" w:styleId="1099">
    <w:name w:val="Body Text"/>
    <w:basedOn w:val="890"/>
    <w:link w:val="1100"/>
    <w:uiPriority w:val="1"/>
    <w:qFormat/>
    <w:pPr>
      <w:widowControl w:val="false"/>
      <w:pBdr/>
      <w:spacing w:after="0" w:line="240" w:lineRule="auto"/>
      <w:ind/>
    </w:pPr>
    <w:rPr>
      <w:sz w:val="18"/>
      <w:szCs w:val="18"/>
    </w:rPr>
  </w:style>
  <w:style w:type="character" w:styleId="1100" w:customStyle="1">
    <w:name w:val="Corps de texte Car"/>
    <w:basedOn w:val="900"/>
    <w:link w:val="1099"/>
    <w:uiPriority w:val="1"/>
    <w:pPr>
      <w:pBdr/>
      <w:spacing/>
      <w:ind/>
    </w:pPr>
    <w:rPr>
      <w:rFonts w:ascii="Barlow" w:hAnsi="Barlow" w:eastAsia="Barlow" w:cs="Barlow"/>
      <w:sz w:val="18"/>
      <w:szCs w:val="18"/>
    </w:rPr>
  </w:style>
  <w:style w:type="paragraph" w:styleId="1101">
    <w:name w:val="annotation text"/>
    <w:basedOn w:val="890"/>
    <w:link w:val="1102"/>
    <w:uiPriority w:val="99"/>
    <w:semiHidden/>
    <w:unhideWhenUsed/>
    <w:pPr>
      <w:pBdr/>
      <w:spacing w:line="240" w:lineRule="auto"/>
      <w:ind/>
    </w:pPr>
    <w:rPr>
      <w:sz w:val="20"/>
      <w:szCs w:val="20"/>
    </w:rPr>
  </w:style>
  <w:style w:type="character" w:styleId="1102" w:customStyle="1">
    <w:name w:val="Commentaire Car"/>
    <w:basedOn w:val="900"/>
    <w:link w:val="1101"/>
    <w:uiPriority w:val="99"/>
    <w:semiHidden/>
    <w:pPr>
      <w:pBdr/>
      <w:spacing/>
      <w:ind/>
    </w:pPr>
    <w:rPr>
      <w:rFonts w:ascii="Barlow" w:hAnsi="Barlow" w:eastAsia="Barlow" w:cs="Barlow"/>
      <w:sz w:val="20"/>
      <w:szCs w:val="20"/>
    </w:rPr>
  </w:style>
  <w:style w:type="character" w:styleId="1103">
    <w:name w:val="annotation reference"/>
    <w:basedOn w:val="900"/>
    <w:uiPriority w:val="99"/>
    <w:semiHidden/>
    <w:unhideWhenUsed/>
    <w:pPr>
      <w:pBdr/>
      <w:spacing/>
      <w:ind/>
    </w:pPr>
    <w:rPr>
      <w:sz w:val="16"/>
      <w:szCs w:val="16"/>
    </w:rPr>
  </w:style>
  <w:style w:type="paragraph" w:styleId="1104">
    <w:name w:val="Balloon Text"/>
    <w:basedOn w:val="890"/>
    <w:link w:val="1105"/>
    <w:uiPriority w:val="99"/>
    <w:semiHidden/>
    <w:unhideWhenUsed/>
    <w:pPr>
      <w:pBdr/>
      <w:spacing w:after="0" w:line="240" w:lineRule="auto"/>
      <w:ind/>
    </w:pPr>
    <w:rPr>
      <w:rFonts w:ascii="Segoe UI" w:hAnsi="Segoe UI" w:cs="Segoe UI"/>
      <w:sz w:val="18"/>
      <w:szCs w:val="18"/>
    </w:rPr>
  </w:style>
  <w:style w:type="character" w:styleId="1105" w:customStyle="1">
    <w:name w:val="Texte de bulles Car"/>
    <w:basedOn w:val="900"/>
    <w:link w:val="1104"/>
    <w:uiPriority w:val="99"/>
    <w:semiHidden/>
    <w:pPr>
      <w:pBdr/>
      <w:spacing/>
      <w:ind/>
    </w:pPr>
    <w:rPr>
      <w:rFonts w:ascii="Segoe UI" w:hAnsi="Segoe UI" w:eastAsia="Barlow" w:cs="Segoe UI"/>
      <w:sz w:val="18"/>
      <w:szCs w:val="18"/>
    </w:rPr>
  </w:style>
  <w:style w:type="paragraph" w:styleId="1106">
    <w:name w:val="Revision"/>
    <w:hidden/>
    <w:uiPriority w:val="99"/>
    <w:semiHidden/>
    <w:pPr>
      <w:pBdr/>
      <w:spacing w:after="0" w:line="240" w:lineRule="auto"/>
      <w:ind/>
    </w:pPr>
    <w:rPr>
      <w:rFonts w:ascii="Barlow" w:hAnsi="Barlow" w:eastAsia="Barlow" w:cs="Barlow"/>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customXml" Target="../customXml/item1.xml" /><Relationship Id="rId16" Type="http://schemas.openxmlformats.org/officeDocument/2006/relationships/image" Target="media/image6.jpg"/><Relationship Id="rId17" Type="http://schemas.openxmlformats.org/officeDocument/2006/relationships/hyperlink" Target="https://candidatures2.univ-st-etienne.fr/ecandidat/" TargetMode="External"/><Relationship Id="rId18" Type="http://schemas.openxmlformats.org/officeDocument/2006/relationships/hyperlink" Target="mailto:baptiste.monier@univ-st-etienne.fr" TargetMode="External"/><Relationship Id="rId19" Type="http://schemas.openxmlformats.org/officeDocument/2006/relationships/hyperlink" Target="https://arts.univ-st-etienne.fr/formations/duajp/" TargetMode="External"/><Relationship Id="rId20" Type="http://schemas.openxmlformats.org/officeDocument/2006/relationships/hyperlink" Target="%20" TargetMode="External"/><Relationship Id="rId21" Type="http://schemas.openxmlformats.org/officeDocument/2006/relationships/hyperlink" Target="https://www.persee.fr/doc/xxs_0294-1759_1997_num_55_1_3659" TargetMode="External"/><Relationship Id="rId22" Type="http://schemas.openxmlformats.org/officeDocument/2006/relationships/hyperlink" Target="https://www.ecoledeloralite.org/" TargetMode="External"/><Relationship Id="rId23" Type="http://schemas.openxmlformats.org/officeDocument/2006/relationships/image" Target="media/image7.png"/><Relationship Id="rId24" Type="http://schemas.openxmlformats.org/officeDocument/2006/relationships/hyperlink" Target="https://www.opera-lyon.com/fr/artistes/catherine-ailloud-nicolas" TargetMode="External"/><Relationship Id="rId25" Type="http://schemas.openxmlformats.org/officeDocument/2006/relationships/hyperlink" Target="https://www.larumeurlibre.fr/auteurs/authelain_gerard" TargetMode="External"/><Relationship Id="rId26" Type="http://schemas.openxmlformats.org/officeDocument/2006/relationships/hyperlink" Target="https://www.canticumnovum.fr/lequipe-artistique/emmanuel-bardon-direction-musicale-et-chant/" TargetMode="External"/><Relationship Id="rId27" Type="http://schemas.openxmlformats.org/officeDocument/2006/relationships/hyperlink" Target="https://www.citedudesign.com/" TargetMode="External"/><Relationship Id="rId28" Type="http://schemas.openxmlformats.org/officeDocument/2006/relationships/hyperlink" Target="https://www.lacomedie.fr/" TargetMode="External"/><Relationship Id="rId29" Type="http://schemas.openxmlformats.org/officeDocument/2006/relationships/image" Target="media/image8.jpg"/><Relationship Id="rId30" Type="http://schemas.openxmlformats.org/officeDocument/2006/relationships/image" Target="media/image9.jpg"/><Relationship Id="rId31" Type="http://schemas.openxmlformats.org/officeDocument/2006/relationships/hyperlink" Target="https://www.eoc.fr/fabrique-eoc/" TargetMode="External"/><Relationship Id="rId32" Type="http://schemas.openxmlformats.org/officeDocument/2006/relationships/image" Target="media/image10.jpg"/><Relationship Id="rId33" Type="http://schemas.openxmlformats.org/officeDocument/2006/relationships/image" Target="media/image11.jpg"/><Relationship Id="rId34" Type="http://schemas.openxmlformats.org/officeDocument/2006/relationships/image" Target="media/image12.jpg"/><Relationship Id="rId35" Type="http://schemas.openxmlformats.org/officeDocument/2006/relationships/image" Target="media/image13.jpg"/><Relationship Id="rId36" Type="http://schemas.openxmlformats.org/officeDocument/2006/relationships/image" Target="media/image14.jpg"/><Relationship Id="rId37" Type="http://schemas.openxmlformats.org/officeDocument/2006/relationships/image" Target="media/image15.png"/><Relationship Id="rId38" Type="http://schemas.openxmlformats.org/officeDocument/2006/relationships/hyperlink" Target="https://www.veronique-vernette-illustration.com/" TargetMode="External"/><Relationship Id="rId39" Type="http://schemas.openxmlformats.org/officeDocument/2006/relationships/image" Target="media/image16.jpg"/><Relationship Id="rId40" Type="http://schemas.openxmlformats.org/officeDocument/2006/relationships/hyperlink" Target="https://fac-all.univ-st-etienne.fr/fr/scolarite/calendriers.html" TargetMode="External"/><Relationship Id="rId41" Type="http://schemas.openxmlformats.org/officeDocument/2006/relationships/hyperlink" Target="mailto:anne.damon@univ-st-etienne.fr" TargetMode="External"/><Relationship Id="rId42" Type="http://schemas.openxmlformats.org/officeDocument/2006/relationships/hyperlink" Target="mailto:institut-arts@univ-st-etienne.fr" TargetMode="External"/><Relationship Id="rId43" Type="http://schemas.openxmlformats.org/officeDocument/2006/relationships/hyperlink" Target="mailto:baptiste.monier@univ-st-etienne.f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g"/><Relationship Id="rId3" Type="http://schemas.openxmlformats.org/officeDocument/2006/relationships/image" Target="media/image5.jp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9CF03-F5CF-469F-9458-893D6DFAC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ONLYOFFICE/8.1.0.169</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Verney Carron</dc:creator>
  <cp:keywords/>
  <dc:description/>
  <cp:lastModifiedBy>Damon-Guillot (Invité)</cp:lastModifiedBy>
  <cp:revision>119</cp:revision>
  <dcterms:created xsi:type="dcterms:W3CDTF">2024-07-18T09:12:00Z</dcterms:created>
  <dcterms:modified xsi:type="dcterms:W3CDTF">2025-07-24T19:58:07Z</dcterms:modified>
</cp:coreProperties>
</file>